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80" w:lineRule="exact"/>
        <w:jc w:val="center"/>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 xml:space="preserve"> </w:t>
      </w:r>
    </w:p>
    <w:p>
      <w:pPr>
        <w:widowControl w:val="0"/>
        <w:spacing w:line="580" w:lineRule="exact"/>
        <w:jc w:val="center"/>
        <w:rPr>
          <w:rFonts w:ascii="仿宋_GB2312" w:eastAsia="仿宋_GB2312"/>
          <w:snapToGrid w:val="0"/>
          <w:color w:val="000000"/>
          <w:kern w:val="0"/>
          <w:sz w:val="32"/>
          <w:szCs w:val="32"/>
        </w:rPr>
      </w:pPr>
      <w:r>
        <w:rPr>
          <w:rFonts w:hint="eastAsia"/>
        </w:rPr>
        <w:pict>
          <v:shape id="_x0000_s1026" o:spid="_x0000_s1026" o:spt="136" type="#_x0000_t136" style="position:absolute;left:0pt;margin-left:26.2pt;margin-top:18.4pt;height:81.45pt;width:391.45pt;z-index:251666432;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widowControl w:val="0"/>
        <w:spacing w:line="580" w:lineRule="exact"/>
        <w:jc w:val="center"/>
        <w:rPr>
          <w:rFonts w:ascii="仿宋_GB2312" w:eastAsia="仿宋_GB2312"/>
          <w:snapToGrid w:val="0"/>
          <w:color w:val="000000"/>
          <w:kern w:val="0"/>
          <w:sz w:val="32"/>
          <w:szCs w:val="32"/>
        </w:rPr>
      </w:pPr>
    </w:p>
    <w:p>
      <w:pPr>
        <w:widowControl w:val="0"/>
        <w:spacing w:line="580" w:lineRule="exact"/>
        <w:jc w:val="center"/>
        <w:rPr>
          <w:rFonts w:ascii="仿宋_GB2312" w:eastAsia="仿宋_GB2312"/>
          <w:snapToGrid w:val="0"/>
          <w:color w:val="000000"/>
          <w:kern w:val="0"/>
          <w:sz w:val="32"/>
          <w:szCs w:val="32"/>
        </w:rPr>
      </w:pPr>
    </w:p>
    <w:p>
      <w:pPr>
        <w:widowControl w:val="0"/>
        <w:spacing w:line="580" w:lineRule="exact"/>
        <w:jc w:val="center"/>
        <w:rPr>
          <w:rFonts w:ascii="仿宋_GB2312" w:eastAsia="仿宋_GB2312"/>
          <w:snapToGrid w:val="0"/>
          <w:color w:val="000000"/>
          <w:kern w:val="0"/>
          <w:sz w:val="32"/>
          <w:szCs w:val="32"/>
        </w:rPr>
      </w:pPr>
    </w:p>
    <w:p>
      <w:pPr>
        <w:widowControl w:val="0"/>
        <w:spacing w:line="580" w:lineRule="exact"/>
        <w:jc w:val="center"/>
        <w:rPr>
          <w:rFonts w:ascii="仿宋_GB2312" w:eastAsia="仿宋_GB2312"/>
          <w:snapToGrid w:val="0"/>
          <w:color w:val="000000"/>
          <w:kern w:val="0"/>
          <w:sz w:val="32"/>
          <w:szCs w:val="32"/>
        </w:rPr>
      </w:pPr>
    </w:p>
    <w:p>
      <w:pPr>
        <w:widowControl w:val="0"/>
        <w:spacing w:line="580" w:lineRule="exact"/>
        <w:jc w:val="center"/>
        <w:rPr>
          <w:rFonts w:ascii="仿宋_GB2312" w:eastAsia="仿宋_GB2312"/>
          <w:snapToGrid w:val="0"/>
          <w:kern w:val="0"/>
          <w:sz w:val="32"/>
          <w:szCs w:val="32"/>
        </w:rPr>
      </w:pPr>
      <w:bookmarkStart w:id="0" w:name="_GoBack"/>
      <w:r>
        <w:rPr>
          <w:rFonts w:hint="eastAsia" w:ascii="仿宋_GB2312" w:eastAsia="仿宋_GB2312"/>
          <w:snapToGrid w:val="0"/>
          <w:color w:val="000000"/>
          <w:kern w:val="0"/>
          <w:sz w:val="32"/>
          <w:szCs w:val="32"/>
        </w:rPr>
        <w:t>滕政发〔</w:t>
      </w:r>
      <w:r>
        <w:rPr>
          <w:rFonts w:ascii="仿宋_GB2312" w:eastAsia="仿宋_GB2312"/>
          <w:snapToGrid w:val="0"/>
          <w:color w:val="000000"/>
          <w:kern w:val="0"/>
          <w:sz w:val="32"/>
          <w:szCs w:val="32"/>
        </w:rPr>
        <w:t>20</w:t>
      </w:r>
      <w:r>
        <w:rPr>
          <w:rFonts w:hint="eastAsia" w:ascii="仿宋_GB2312" w:eastAsia="仿宋_GB2312"/>
          <w:snapToGrid w:val="0"/>
          <w:color w:val="000000"/>
          <w:kern w:val="0"/>
          <w:sz w:val="32"/>
          <w:szCs w:val="32"/>
        </w:rPr>
        <w:t>23〕8号</w:t>
      </w:r>
    </w:p>
    <w:bookmarkEnd w:id="0"/>
    <w:p>
      <w:pPr>
        <w:widowControl w:val="0"/>
        <w:spacing w:line="580" w:lineRule="exact"/>
        <w:jc w:val="center"/>
        <w:rPr>
          <w:rFonts w:ascii="方正小标宋简体" w:eastAsia="方正小标宋简体"/>
          <w:snapToGrid w:val="0"/>
          <w:kern w:val="0"/>
          <w:sz w:val="44"/>
          <w:szCs w:val="44"/>
        </w:rPr>
      </w:pPr>
      <w:r>
        <w:rPr>
          <w:rFonts w:hint="eastAsia"/>
        </w:rPr>
        <mc:AlternateContent>
          <mc:Choice Requires="wps">
            <w:drawing>
              <wp:anchor distT="0" distB="0" distL="114300" distR="114300" simplePos="0" relativeHeight="251671552" behindDoc="0" locked="0" layoutInCell="1" allowOverlap="1">
                <wp:simplePos x="0" y="0"/>
                <wp:positionH relativeFrom="column">
                  <wp:posOffset>224790</wp:posOffset>
                </wp:positionH>
                <wp:positionV relativeFrom="paragraph">
                  <wp:posOffset>361950</wp:posOffset>
                </wp:positionV>
                <wp:extent cx="5143500" cy="635"/>
                <wp:effectExtent l="0" t="0" r="0" b="0"/>
                <wp:wrapNone/>
                <wp:docPr id="2" name="直接连接符 2"/>
                <wp:cNvGraphicFramePr/>
                <a:graphic xmlns:a="http://schemas.openxmlformats.org/drawingml/2006/main">
                  <a:graphicData uri="http://schemas.microsoft.com/office/word/2010/wordprocessingShape">
                    <wps:wsp>
                      <wps:cNvCnPr/>
                      <wps:spPr>
                        <a:xfrm>
                          <a:off x="1283970" y="332803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17.7pt;margin-top:28.5pt;height:0.05pt;width:405pt;z-index:251671552;mso-width-relative:page;mso-height-relative:page;" filled="f" stroked="t" coordsize="21600,21600" o:gfxdata="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Iw5Og7WAAAACAEAAA8AAAAAAAAAAQAgAAAAOAAA&#10;AGRycy9kb3ducmV2LnhtbFBLAQIUABQAAAAIAIdO4kCZVbiO9AEAALYDAAAOAAAAAAAAAAEAIAAA&#10;ADsBAABkcnMvZTJvRG9jLnhtbFBLBQYAAAAABgAGAFkBAAChBQAAAAA=&#10;">
                <v:path arrowok="t"/>
                <v:fill on="f" focussize="0,0"/>
                <v:stroke weight="2.25pt" color="#FF0000" joinstyle="round"/>
                <v:imagedata o:title=""/>
                <o:lock v:ext="edit" aspectratio="f"/>
              </v:line>
            </w:pict>
          </mc:Fallback>
        </mc:AlternateContent>
      </w:r>
    </w:p>
    <w:p>
      <w:pPr>
        <w:widowControl w:val="0"/>
        <w:spacing w:line="580" w:lineRule="exact"/>
        <w:jc w:val="center"/>
        <w:rPr>
          <w:rFonts w:ascii="方正小标宋简体" w:eastAsia="方正小标宋简体"/>
          <w:snapToGrid w:val="0"/>
          <w:kern w:val="0"/>
          <w:sz w:val="44"/>
          <w:szCs w:val="44"/>
        </w:rPr>
      </w:pPr>
    </w:p>
    <w:p>
      <w:pPr>
        <w:widowControl w:val="0"/>
        <w:spacing w:line="580" w:lineRule="exact"/>
        <w:jc w:val="center"/>
        <w:rPr>
          <w:rFonts w:ascii="方正小标宋简体" w:eastAsia="方正小标宋简体"/>
          <w:snapToGrid w:val="0"/>
          <w:kern w:val="0"/>
          <w:sz w:val="44"/>
          <w:szCs w:val="44"/>
        </w:rPr>
      </w:pPr>
      <w:r>
        <w:rPr>
          <w:rFonts w:hint="eastAsia" w:ascii="方正小标宋简体" w:eastAsia="方正小标宋简体"/>
          <w:snapToGrid w:val="0"/>
          <w:kern w:val="0"/>
          <w:sz w:val="44"/>
          <w:szCs w:val="44"/>
        </w:rPr>
        <w:t>滕州市人民政府</w:t>
      </w:r>
    </w:p>
    <w:p>
      <w:pPr>
        <w:widowControl w:val="0"/>
        <w:spacing w:line="580" w:lineRule="exact"/>
        <w:jc w:val="center"/>
        <w:rPr>
          <w:rFonts w:ascii="方正小标宋简体" w:eastAsia="方正小标宋简体"/>
          <w:snapToGrid w:val="0"/>
          <w:kern w:val="0"/>
          <w:sz w:val="44"/>
          <w:szCs w:val="44"/>
        </w:rPr>
      </w:pPr>
      <w:r>
        <w:rPr>
          <w:rFonts w:hint="eastAsia" w:ascii="方正小标宋简体" w:hAnsi="华文中宋" w:eastAsia="方正小标宋简体"/>
          <w:snapToGrid w:val="0"/>
          <w:kern w:val="0"/>
          <w:sz w:val="44"/>
          <w:szCs w:val="44"/>
        </w:rPr>
        <w:t>关于试点建设城市森林花园住宅建筑的实施意见(试行)</w:t>
      </w:r>
    </w:p>
    <w:p>
      <w:pPr>
        <w:widowControl w:val="0"/>
        <w:tabs>
          <w:tab w:val="right" w:pos="8306"/>
        </w:tabs>
        <w:spacing w:line="580" w:lineRule="exact"/>
        <w:jc w:val="center"/>
        <w:rPr>
          <w:rFonts w:ascii="仿宋_GB2312" w:eastAsia="仿宋_GB2312"/>
          <w:snapToGrid w:val="0"/>
          <w:kern w:val="0"/>
          <w:sz w:val="32"/>
          <w:szCs w:val="32"/>
        </w:rPr>
      </w:pPr>
    </w:p>
    <w:p>
      <w:pPr>
        <w:widowControl w:val="0"/>
        <w:tabs>
          <w:tab w:val="right" w:pos="8306"/>
        </w:tabs>
        <w:spacing w:line="580" w:lineRule="exact"/>
        <w:rPr>
          <w:rFonts w:ascii="仿宋_GB2312" w:eastAsia="仿宋_GB2312"/>
          <w:snapToGrid w:val="0"/>
          <w:kern w:val="0"/>
          <w:sz w:val="32"/>
          <w:szCs w:val="32"/>
        </w:rPr>
      </w:pPr>
      <w:r>
        <w:rPr>
          <w:rFonts w:hint="eastAsia" w:ascii="仿宋_GB2312" w:eastAsia="仿宋_GB2312"/>
          <w:snapToGrid w:val="0"/>
          <w:kern w:val="0"/>
          <w:sz w:val="32"/>
          <w:szCs w:val="32"/>
        </w:rPr>
        <w:t>各镇人民政府、街道办事处，滕州经济技术开发区管委会，市政府各部门，各企事业单位：</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snapToGrid w:val="0"/>
          <w:kern w:val="0"/>
          <w:sz w:val="32"/>
          <w:szCs w:val="32"/>
          <w:lang w:val="zh-CN"/>
        </w:rPr>
        <w:t>为推进生态宜居城市建设，加快供给侧结构性改革，</w:t>
      </w:r>
      <w:r>
        <w:rPr>
          <w:rFonts w:hint="eastAsia" w:ascii="仿宋_GB2312" w:hAnsi="仿宋_GB2312" w:eastAsia="仿宋_GB2312" w:cs="仿宋_GB2312"/>
          <w:snapToGrid w:val="0"/>
          <w:kern w:val="0"/>
          <w:sz w:val="32"/>
          <w:szCs w:val="32"/>
        </w:rPr>
        <w:t>巩固</w:t>
      </w:r>
      <w:r>
        <w:rPr>
          <w:rFonts w:hint="eastAsia" w:ascii="仿宋_GB2312" w:hAnsi="仿宋_GB2312" w:eastAsia="仿宋_GB2312" w:cs="仿宋_GB2312"/>
          <w:snapToGrid w:val="0"/>
          <w:kern w:val="0"/>
          <w:sz w:val="32"/>
          <w:szCs w:val="32"/>
          <w:lang w:val="zh-CN"/>
        </w:rPr>
        <w:t>国家园林城市</w:t>
      </w:r>
      <w:r>
        <w:rPr>
          <w:rFonts w:hint="eastAsia" w:ascii="仿宋_GB2312" w:hAnsi="仿宋_GB2312" w:eastAsia="仿宋_GB2312" w:cs="仿宋_GB2312"/>
          <w:snapToGrid w:val="0"/>
          <w:kern w:val="0"/>
          <w:sz w:val="32"/>
          <w:szCs w:val="32"/>
        </w:rPr>
        <w:t>创建成果</w:t>
      </w:r>
      <w:r>
        <w:rPr>
          <w:rFonts w:hint="eastAsia" w:ascii="仿宋_GB2312" w:hAnsi="仿宋_GB2312" w:eastAsia="仿宋_GB2312" w:cs="仿宋_GB2312"/>
          <w:snapToGrid w:val="0"/>
          <w:kern w:val="0"/>
          <w:sz w:val="32"/>
          <w:szCs w:val="32"/>
          <w:lang w:val="zh-CN"/>
        </w:rPr>
        <w:t>，切实提升人居环境品质，</w:t>
      </w:r>
      <w:r>
        <w:rPr>
          <w:rFonts w:hint="eastAsia" w:ascii="仿宋_GB2312" w:hAnsi="仿宋_GB2312" w:eastAsia="仿宋_GB2312" w:cs="仿宋_GB2312"/>
          <w:snapToGrid w:val="0"/>
          <w:kern w:val="0"/>
          <w:sz w:val="32"/>
          <w:szCs w:val="32"/>
        </w:rPr>
        <w:t>满足人民对美好生活的向往</w:t>
      </w:r>
      <w:r>
        <w:rPr>
          <w:rFonts w:hint="eastAsia" w:ascii="仿宋_GB2312" w:hAnsi="仿宋_GB2312" w:eastAsia="仿宋_GB2312" w:cs="仿宋_GB2312"/>
          <w:snapToGrid w:val="0"/>
          <w:kern w:val="0"/>
          <w:sz w:val="32"/>
          <w:szCs w:val="32"/>
          <w:lang w:val="zh-CN"/>
        </w:rPr>
        <w:t>，试点建设城市森林花园</w:t>
      </w:r>
      <w:r>
        <w:rPr>
          <w:rFonts w:hint="eastAsia" w:ascii="仿宋_GB2312" w:hAnsi="仿宋_GB2312" w:eastAsia="仿宋_GB2312" w:cs="仿宋_GB2312"/>
          <w:snapToGrid w:val="0"/>
          <w:kern w:val="0"/>
          <w:sz w:val="32"/>
          <w:szCs w:val="32"/>
        </w:rPr>
        <w:t>住宅</w:t>
      </w:r>
      <w:r>
        <w:rPr>
          <w:rFonts w:hint="eastAsia" w:ascii="仿宋_GB2312" w:hAnsi="仿宋_GB2312" w:eastAsia="仿宋_GB2312" w:cs="仿宋_GB2312"/>
          <w:snapToGrid w:val="0"/>
          <w:kern w:val="0"/>
          <w:sz w:val="32"/>
          <w:szCs w:val="32"/>
          <w:lang w:val="zh-CN"/>
        </w:rPr>
        <w:t>建筑，提出以下实施意见：</w:t>
      </w:r>
    </w:p>
    <w:p>
      <w:pPr>
        <w:widowControl w:val="0"/>
        <w:spacing w:line="580" w:lineRule="exact"/>
        <w:ind w:firstLine="640" w:firstLineChars="200"/>
        <w:rPr>
          <w:rFonts w:ascii="黑体" w:hAnsi="黑体" w:eastAsia="黑体" w:cs="黑体"/>
          <w:snapToGrid w:val="0"/>
          <w:kern w:val="0"/>
          <w:sz w:val="32"/>
          <w:szCs w:val="32"/>
          <w:lang w:val="zh-CN"/>
        </w:rPr>
      </w:pPr>
      <w:r>
        <w:rPr>
          <w:rFonts w:hint="eastAsia" w:ascii="黑体" w:hAnsi="黑体" w:eastAsia="黑体" w:cs="黑体"/>
          <w:snapToGrid w:val="0"/>
          <w:kern w:val="0"/>
          <w:sz w:val="32"/>
          <w:szCs w:val="32"/>
          <w:lang w:val="zh-CN"/>
        </w:rPr>
        <w:t>一、总体要求</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snapToGrid w:val="0"/>
          <w:kern w:val="0"/>
          <w:sz w:val="32"/>
          <w:szCs w:val="32"/>
          <w:lang w:val="zh-CN"/>
        </w:rPr>
        <w:t>以习近</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平新时代中国特色社会主义</w:t>
      </w:r>
      <w:r>
        <w:rPr>
          <w:rFonts w:hint="eastAsia" w:ascii="仿宋_GB2312" w:hAnsi="仿宋_GB2312" w:eastAsia="仿宋_GB2312" w:cs="仿宋_GB2312"/>
          <w:snapToGrid w:val="0"/>
          <w:kern w:val="0"/>
          <w:sz w:val="32"/>
          <w:szCs w:val="32"/>
          <w:lang w:val="zh-CN"/>
        </w:rPr>
        <w:t>思想为指导，深入学习贯彻党的二十大精神，坚持</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人民城市人民建、人民城市为人民，提高城市规划、建设、治理水平，打造宜居、韧性、智慧城市，</w:t>
      </w:r>
      <w:r>
        <w:rPr>
          <w:rFonts w:hint="eastAsia" w:ascii="仿宋_GB2312" w:hAnsi="仿宋_GB2312" w:eastAsia="仿宋_GB2312" w:cs="仿宋_GB2312"/>
          <w:snapToGrid w:val="0"/>
          <w:kern w:val="0"/>
          <w:sz w:val="32"/>
          <w:szCs w:val="32"/>
          <w:lang w:val="zh-CN"/>
        </w:rPr>
        <w:t>坚持“政府推动、市场主导、典型示范、重点推进”的原则，牢固树立和贯彻落实新发展理念，按照经济、适用、安全、绿色、美观的要求，支持发展城市森林花园住宅建筑。20</w:t>
      </w:r>
      <w:r>
        <w:rPr>
          <w:rFonts w:hint="eastAsia" w:ascii="仿宋_GB2312" w:hAnsi="仿宋_GB2312" w:eastAsia="仿宋_GB2312" w:cs="仿宋_GB2312"/>
          <w:snapToGrid w:val="0"/>
          <w:kern w:val="0"/>
          <w:sz w:val="32"/>
          <w:szCs w:val="32"/>
        </w:rPr>
        <w:t>2</w:t>
      </w:r>
      <w:r>
        <w:rPr>
          <w:rFonts w:ascii="仿宋_GB2312" w:hAnsi="仿宋_GB2312" w:eastAsia="仿宋_GB2312" w:cs="仿宋_GB2312"/>
          <w:snapToGrid w:val="0"/>
          <w:kern w:val="0"/>
          <w:sz w:val="32"/>
          <w:szCs w:val="32"/>
        </w:rPr>
        <w:t>3</w:t>
      </w:r>
      <w:r>
        <w:rPr>
          <w:rFonts w:hint="eastAsia" w:ascii="仿宋_GB2312" w:hAnsi="仿宋_GB2312" w:eastAsia="仿宋_GB2312" w:cs="仿宋_GB2312"/>
          <w:snapToGrid w:val="0"/>
          <w:kern w:val="0"/>
          <w:sz w:val="32"/>
          <w:szCs w:val="32"/>
          <w:lang w:val="zh-CN"/>
        </w:rPr>
        <w:t>年启动实施城市森林花园住宅建筑试点项目，将新兴的绿色生态理念注入城市住宅建筑实践，并打造为绿色生态建</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筑</w:t>
      </w:r>
      <w:r>
        <w:rPr>
          <w:rFonts w:hint="eastAsia" w:ascii="仿宋_GB2312" w:hAnsi="仿宋_GB2312" w:eastAsia="仿宋_GB2312" w:cs="仿宋_GB2312"/>
          <w:snapToGrid w:val="0"/>
          <w:kern w:val="0"/>
          <w:sz w:val="32"/>
          <w:szCs w:val="32"/>
          <w:lang w:val="zh-CN"/>
        </w:rPr>
        <w:t>示范项目。</w:t>
      </w:r>
    </w:p>
    <w:p>
      <w:pPr>
        <w:pStyle w:val="14"/>
        <w:widowControl w:val="0"/>
        <w:spacing w:line="580" w:lineRule="exact"/>
        <w:ind w:firstLine="640"/>
        <w:rPr>
          <w:rFonts w:ascii="黑体" w:hAnsi="黑体" w:eastAsia="黑体" w:cs="黑体"/>
          <w:snapToGrid w:val="0"/>
          <w:color w:val="FF0000"/>
          <w:kern w:val="0"/>
          <w:sz w:val="32"/>
          <w:szCs w:val="32"/>
        </w:rPr>
      </w:pPr>
      <w:r>
        <w:rPr>
          <w:rFonts w:hint="eastAsia" w:ascii="黑体" w:hAnsi="黑体" w:eastAsia="黑体" w:cs="黑体"/>
          <w:snapToGrid w:val="0"/>
          <w:kern w:val="0"/>
          <w:sz w:val="32"/>
          <w:szCs w:val="32"/>
        </w:rPr>
        <w:t>二、适用范围</w:t>
      </w:r>
    </w:p>
    <w:p>
      <w:pPr>
        <w:widowControl w:val="0"/>
        <w:spacing w:line="580" w:lineRule="exact"/>
        <w:ind w:firstLine="640" w:firstLineChars="200"/>
        <w:rPr>
          <w:rFonts w:ascii="黑体" w:hAnsi="黑体" w:eastAsia="黑体" w:cs="黑体"/>
          <w:snapToGrid w:val="0"/>
          <w:kern w:val="0"/>
          <w:sz w:val="32"/>
          <w:szCs w:val="32"/>
        </w:rPr>
      </w:pPr>
      <w:r>
        <w:rPr>
          <w:rFonts w:hint="eastAsia" w:ascii="仿宋_GB2312" w:hAnsi="仿宋_GB2312" w:eastAsia="仿宋_GB2312" w:cs="仿宋_GB2312"/>
          <w:snapToGrid w:val="0"/>
          <w:kern w:val="0"/>
          <w:sz w:val="32"/>
          <w:szCs w:val="32"/>
        </w:rPr>
        <w:t>沿河、滨湖、生态廊道、生态街区、城市主干道等重要城市界面，经规划主管部门同意可</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作为</w:t>
      </w:r>
      <w:r>
        <w:rPr>
          <w:rFonts w:hint="eastAsia" w:ascii="仿宋_GB2312" w:hAnsi="仿宋_GB2312" w:eastAsia="仿宋_GB2312" w:cs="仿宋_GB2312"/>
          <w:snapToGrid w:val="0"/>
          <w:kern w:val="0"/>
          <w:sz w:val="32"/>
          <w:szCs w:val="32"/>
          <w:lang w:val="zh-CN"/>
        </w:rPr>
        <w:t>城市森林花园</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住宅</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建筑的试点项目。</w:t>
      </w:r>
    </w:p>
    <w:p>
      <w:pPr>
        <w:pStyle w:val="7"/>
        <w:widowControl w:val="0"/>
        <w:spacing w:beforeAutospacing="0" w:afterAutospacing="0" w:line="580" w:lineRule="exact"/>
        <w:ind w:firstLine="640" w:firstLineChars="200"/>
        <w:jc w:val="both"/>
        <w:rPr>
          <w:rFonts w:ascii="黑体" w:hAnsi="黑体" w:eastAsia="黑体" w:cs="黑体"/>
          <w:snapToGrid w:val="0"/>
          <w:sz w:val="32"/>
          <w:szCs w:val="32"/>
          <w:lang w:val="zh-CN"/>
        </w:rPr>
      </w:pPr>
      <w:r>
        <w:rPr>
          <w:rFonts w:hint="eastAsia" w:ascii="黑体" w:hAnsi="黑体" w:eastAsia="黑体" w:cs="黑体"/>
          <w:snapToGrid w:val="0"/>
          <w:sz w:val="32"/>
          <w:szCs w:val="32"/>
        </w:rPr>
        <w:t>三</w:t>
      </w:r>
      <w:r>
        <w:rPr>
          <w:rFonts w:hint="eastAsia" w:ascii="黑体" w:hAnsi="黑体" w:eastAsia="黑体" w:cs="黑体"/>
          <w:snapToGrid w:val="0"/>
          <w:sz w:val="32"/>
          <w:szCs w:val="32"/>
          <w:lang w:val="zh-CN"/>
        </w:rPr>
        <w:t>、</w:t>
      </w:r>
      <w:r>
        <w:rPr>
          <w:rFonts w:hint="eastAsia" w:ascii="黑体" w:hAnsi="黑体" w:eastAsia="黑体" w:cs="黑体"/>
          <w:snapToGrid w:val="0"/>
          <w:sz w:val="32"/>
          <w:szCs w:val="32"/>
        </w:rPr>
        <w:t>技术</w:t>
      </w:r>
      <w:r>
        <w:rPr>
          <w:rFonts w:hint="eastAsia" w:ascii="黑体" w:hAnsi="黑体" w:eastAsia="黑体" w:cs="黑体"/>
          <w:snapToGrid w:val="0"/>
          <w:sz w:val="32"/>
          <w:szCs w:val="32"/>
          <w:lang w:val="zh-CN"/>
        </w:rPr>
        <w:t>要求</w:t>
      </w:r>
    </w:p>
    <w:p>
      <w:pPr>
        <w:pStyle w:val="7"/>
        <w:widowControl w:val="0"/>
        <w:spacing w:beforeAutospacing="0" w:afterAutospacing="0" w:line="580" w:lineRule="exact"/>
        <w:ind w:firstLine="640" w:firstLineChars="200"/>
        <w:jc w:val="both"/>
        <w:rPr>
          <w:rFonts w:ascii="仿宋_GB2312" w:hAnsi="仿宋_GB2312" w:eastAsia="仿宋_GB2312" w:cs="仿宋_GB2312"/>
          <w:snapToGrid w:val="0"/>
          <w:color w:val="000000" w:themeColor="text1"/>
          <w:sz w:val="32"/>
          <w:szCs w:val="32"/>
          <w:lang w:val="zh-CN"/>
          <w14:textFill>
            <w14:solidFill>
              <w14:schemeClr w14:val="tx1"/>
            </w14:solidFill>
          </w14:textFill>
        </w:rPr>
      </w:pP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w:t>
      </w:r>
      <w:r>
        <w:rPr>
          <w:rFonts w:hint="eastAsia" w:ascii="仿宋_GB2312" w:hAnsi="仿宋_GB2312" w:eastAsia="仿宋_GB2312" w:cs="仿宋_GB2312"/>
          <w:snapToGrid w:val="0"/>
          <w:sz w:val="32"/>
          <w:szCs w:val="32"/>
          <w:lang w:val="zh-CN"/>
        </w:rPr>
        <w:t>城市森林花园</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住宅”是将新兴的绿色生态理念注入城市住宅建筑实践，将空中花园与现代高层建筑相结合的高品质住宅，</w:t>
      </w:r>
      <w:r>
        <w:rPr>
          <w:rFonts w:ascii="仿宋_GB2312" w:hAnsi="仿宋_GB2312" w:eastAsia="仿宋_GB2312" w:cs="仿宋_GB2312"/>
          <w:snapToGrid w:val="0"/>
          <w:color w:val="000000" w:themeColor="text1"/>
          <w:sz w:val="32"/>
          <w:szCs w:val="32"/>
          <w:lang w:val="zh-CN" w:bidi="ar"/>
          <w14:textFill>
            <w14:solidFill>
              <w14:schemeClr w14:val="tx1"/>
            </w14:solidFill>
          </w14:textFill>
        </w:rPr>
        <w:t>主要为空中户属庭院住宅和空中共享园林住宅两种类型</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。本实施意见试点的项目，仅限于“</w:t>
      </w:r>
      <w:r>
        <w:rPr>
          <w:rFonts w:hint="eastAsia" w:ascii="仿宋_GB2312" w:hAnsi="仿宋_GB2312" w:eastAsia="仿宋_GB2312" w:cs="仿宋_GB2312"/>
          <w:snapToGrid w:val="0"/>
          <w:color w:val="000000" w:themeColor="text1"/>
          <w:sz w:val="32"/>
          <w:szCs w:val="32"/>
          <w:lang w:val="zh-CN" w:bidi="ar"/>
          <w14:textFill>
            <w14:solidFill>
              <w14:schemeClr w14:val="tx1"/>
            </w14:solidFill>
          </w14:textFill>
        </w:rPr>
        <w:t>空中户属庭院住宅</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”类型，且每户住宅仅设置一处“空中花园”。</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lang w:val="zh-CN"/>
          <w14:textFill>
            <w14:solidFill>
              <w14:schemeClr w14:val="tx1"/>
            </w14:solidFill>
          </w14:textFill>
        </w:rPr>
      </w:pPr>
      <w:r>
        <w:rPr>
          <w:rFonts w:hint="eastAsia" w:ascii="楷体_GB2312" w:hAnsi="楷体_GB2312" w:eastAsia="楷体_GB2312" w:cs="楷体_GB2312"/>
          <w:b/>
          <w:snapToGrid w:val="0"/>
          <w:color w:val="000000" w:themeColor="text1"/>
          <w:kern w:val="0"/>
          <w:sz w:val="32"/>
          <w:szCs w:val="32"/>
          <w14:textFill>
            <w14:solidFill>
              <w14:schemeClr w14:val="tx1"/>
            </w14:solidFill>
          </w14:textFill>
        </w:rPr>
        <w:t>1.建筑方面：</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（1）“空中花园”须有覆土绿化植物，其设置须有两个自然层通高，采用外挑结构，挑出不应低于2</w:t>
      </w:r>
      <w:r>
        <w:rPr>
          <w:rFonts w:ascii="仿宋_GB2312" w:hAnsi="仿宋_GB2312" w:eastAsia="仿宋_GB2312" w:cs="仿宋_GB2312"/>
          <w:snapToGrid w:val="0"/>
          <w:color w:val="000000" w:themeColor="text1"/>
          <w:kern w:val="0"/>
          <w:sz w:val="32"/>
          <w:szCs w:val="32"/>
          <w:lang w:val="zh-CN"/>
          <w14:textFill>
            <w14:solidFill>
              <w14:schemeClr w14:val="tx1"/>
            </w14:solidFill>
          </w14:textFill>
        </w:rPr>
        <w:t>.2</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米，应设置在建筑主体结构之外，无墙且不封闭。（2）“空中花园”的覆土植绿面积不应小于空中花园面积的</w:t>
      </w:r>
      <w:r>
        <w:rPr>
          <w:rFonts w:ascii="仿宋_GB2312" w:hAnsi="仿宋_GB2312" w:eastAsia="仿宋_GB2312" w:cs="仿宋_GB2312"/>
          <w:snapToGrid w:val="0"/>
          <w:color w:val="000000" w:themeColor="text1"/>
          <w:kern w:val="0"/>
          <w:sz w:val="32"/>
          <w:szCs w:val="32"/>
          <w14:textFill>
            <w14:solidFill>
              <w14:schemeClr w14:val="tx1"/>
            </w14:solidFill>
          </w14:textFill>
        </w:rPr>
        <w:t>30</w:t>
      </w:r>
      <w:r>
        <w:rPr>
          <w:rFonts w:ascii="仿宋_GB2312" w:hAnsi="仿宋_GB2312" w:eastAsia="仿宋_GB2312" w:cs="仿宋_GB2312"/>
          <w:snapToGrid w:val="0"/>
          <w:color w:val="000000" w:themeColor="text1"/>
          <w:kern w:val="0"/>
          <w:sz w:val="32"/>
          <w:szCs w:val="32"/>
          <w:lang w:val="zh-CN"/>
          <w14:textFill>
            <w14:solidFill>
              <w14:schemeClr w14:val="tx1"/>
            </w14:solidFill>
          </w14:textFill>
        </w:rPr>
        <w:t>%</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，绿化植物应以灌木、花卉、地被为主，每处设置不少于两棵</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1.8米树木，覆土深度</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不得小于</w:t>
      </w:r>
      <w:r>
        <w:rPr>
          <w:rFonts w:ascii="仿宋_GB2312" w:hAnsi="仿宋_GB2312" w:eastAsia="仿宋_GB2312" w:cs="仿宋_GB2312"/>
          <w:bCs/>
          <w:snapToGrid w:val="0"/>
          <w:kern w:val="0"/>
          <w:sz w:val="32"/>
          <w:szCs w:val="32"/>
          <w:lang w:val="zh-CN"/>
        </w:rPr>
        <w:t>0.</w:t>
      </w:r>
      <w:r>
        <w:rPr>
          <w:rFonts w:hint="eastAsia" w:ascii="仿宋_GB2312" w:hAnsi="仿宋_GB2312" w:eastAsia="仿宋_GB2312" w:cs="仿宋_GB2312"/>
          <w:bCs/>
          <w:snapToGrid w:val="0"/>
          <w:kern w:val="0"/>
          <w:sz w:val="32"/>
          <w:szCs w:val="32"/>
        </w:rPr>
        <w:t>6</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米，</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空中花园种植植物需考虑植物根系类型，设置耐根系防水层。（3）</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“空中花园”应保证每套住宅的私密性，满足消防、采光等要求，不应出现“黑房子”等设计缺陷，满足《城市居住区规划设计标准》(GB50180—2018）、《住宅设计规范》（GB50096—2021）等要求。</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14:textFill>
            <w14:solidFill>
              <w14:schemeClr w14:val="tx1"/>
            </w14:solidFill>
          </w14:textFill>
        </w:rPr>
      </w:pPr>
      <w:r>
        <w:rPr>
          <w:rFonts w:hint="eastAsia" w:ascii="楷体_GB2312" w:hAnsi="楷体_GB2312" w:eastAsia="楷体_GB2312" w:cs="楷体_GB2312"/>
          <w:b/>
          <w:snapToGrid w:val="0"/>
          <w:color w:val="000000" w:themeColor="text1"/>
          <w:kern w:val="0"/>
          <w:sz w:val="32"/>
          <w:szCs w:val="32"/>
          <w14:textFill>
            <w14:solidFill>
              <w14:schemeClr w14:val="tx1"/>
            </w14:solidFill>
          </w14:textFill>
        </w:rPr>
        <w:t>2.结构方面：</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“空中花园”楼板应做降板处理，降板深度不得小于</w:t>
      </w:r>
      <w:r>
        <w:rPr>
          <w:rFonts w:ascii="仿宋_GB2312" w:hAnsi="仿宋_GB2312" w:eastAsia="仿宋_GB2312" w:cs="仿宋_GB2312"/>
          <w:bCs/>
          <w:snapToGrid w:val="0"/>
          <w:kern w:val="0"/>
          <w:sz w:val="32"/>
          <w:szCs w:val="32"/>
        </w:rPr>
        <w:t>0.</w:t>
      </w:r>
      <w:r>
        <w:rPr>
          <w:rFonts w:hint="eastAsia" w:ascii="仿宋_GB2312" w:hAnsi="仿宋_GB2312" w:eastAsia="仿宋_GB2312" w:cs="仿宋_GB2312"/>
          <w:bCs/>
          <w:snapToGrid w:val="0"/>
          <w:kern w:val="0"/>
          <w:sz w:val="32"/>
          <w:szCs w:val="32"/>
        </w:rPr>
        <w:t>6</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米，并充分考虑“空中花园”设计荷载等级，满足结构安全性、抗渗性、耐久性等要求。</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14:textFill>
            <w14:solidFill>
              <w14:schemeClr w14:val="tx1"/>
            </w14:solidFill>
          </w14:textFill>
        </w:rPr>
      </w:pPr>
      <w:r>
        <w:rPr>
          <w:rFonts w:hint="eastAsia" w:ascii="楷体_GB2312" w:hAnsi="楷体_GB2312" w:eastAsia="楷体_GB2312" w:cs="楷体_GB2312"/>
          <w:b/>
          <w:snapToGrid w:val="0"/>
          <w:color w:val="000000" w:themeColor="text1"/>
          <w:kern w:val="0"/>
          <w:sz w:val="32"/>
          <w:szCs w:val="32"/>
          <w14:textFill>
            <w14:solidFill>
              <w14:schemeClr w14:val="tx1"/>
            </w14:solidFill>
          </w14:textFill>
        </w:rPr>
        <w:t>3.设备方面：</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“空中花园”交付，应设有完整的灌溉、排水系统和相应的保温防冻措施，以满足植物生长环境要求。</w:t>
      </w:r>
    </w:p>
    <w:p>
      <w:pPr>
        <w:widowControl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四</w:t>
      </w:r>
      <w:r>
        <w:rPr>
          <w:rFonts w:hint="eastAsia" w:ascii="黑体" w:hAnsi="黑体" w:eastAsia="黑体" w:cs="黑体"/>
          <w:snapToGrid w:val="0"/>
          <w:kern w:val="0"/>
          <w:sz w:val="32"/>
          <w:szCs w:val="32"/>
          <w:lang w:val="zh-CN"/>
        </w:rPr>
        <w:t>、政策支持</w:t>
      </w:r>
    </w:p>
    <w:p>
      <w:pPr>
        <w:widowControl w:val="0"/>
        <w:spacing w:line="580" w:lineRule="exact"/>
        <w:ind w:firstLine="642" w:firstLineChars="200"/>
        <w:rPr>
          <w:rFonts w:ascii="楷体_GB2312" w:hAnsi="楷体_GB2312" w:eastAsia="楷体_GB2312" w:cs="楷体_GB2312"/>
          <w:b/>
          <w:snapToGrid w:val="0"/>
          <w:color w:val="000000" w:themeColor="text1"/>
          <w:kern w:val="0"/>
          <w:sz w:val="32"/>
          <w:szCs w:val="32"/>
          <w:lang w:val="zh-CN"/>
          <w14:textFill>
            <w14:solidFill>
              <w14:schemeClr w14:val="tx1"/>
            </w14:solidFill>
          </w14:textFill>
        </w:rPr>
      </w:pPr>
      <w:r>
        <w:rPr>
          <w:rFonts w:hint="eastAsia" w:ascii="楷体_GB2312" w:hAnsi="楷体_GB2312" w:eastAsia="楷体_GB2312" w:cs="楷体_GB2312"/>
          <w:b/>
          <w:snapToGrid w:val="0"/>
          <w:color w:val="000000" w:themeColor="text1"/>
          <w:kern w:val="0"/>
          <w:sz w:val="32"/>
          <w:szCs w:val="32"/>
          <w:lang w:val="zh-CN"/>
          <w14:textFill>
            <w14:solidFill>
              <w14:schemeClr w14:val="tx1"/>
            </w14:solidFill>
          </w14:textFill>
        </w:rPr>
        <w:t>1.容积率和产权面积计算方式</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（1）容积率：</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空中花园”面积不计入容积率。不满足</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空中花园”技术要求的部分计算仍按相关技术标准执行。</w:t>
      </w:r>
    </w:p>
    <w:p>
      <w:pPr>
        <w:widowControl w:val="0"/>
        <w:spacing w:line="580" w:lineRule="exact"/>
        <w:ind w:firstLine="642"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（2）</w:t>
      </w:r>
      <w:r>
        <w:rPr>
          <w:rFonts w:hint="eastAsia" w:ascii="仿宋_GB2312" w:hAnsi="仿宋_GB2312" w:eastAsia="仿宋_GB2312" w:cs="仿宋_GB2312"/>
          <w:b/>
          <w:bCs/>
          <w:snapToGrid w:val="0"/>
          <w:color w:val="000000" w:themeColor="text1"/>
          <w:kern w:val="0"/>
          <w:sz w:val="32"/>
          <w:szCs w:val="32"/>
          <w:lang w:val="zh-CN"/>
          <w14:textFill>
            <w14:solidFill>
              <w14:schemeClr w14:val="tx1"/>
            </w14:solidFill>
          </w14:textFill>
        </w:rPr>
        <w:t>产权面积：</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空中花园”由业主管理使用，计入产权面积，不得私自更改使用性质。</w:t>
      </w:r>
    </w:p>
    <w:p>
      <w:pPr>
        <w:widowControl w:val="0"/>
        <w:spacing w:line="580" w:lineRule="exact"/>
        <w:ind w:firstLine="642" w:firstLineChars="200"/>
        <w:rPr>
          <w:rFonts w:ascii="楷体_GB2312" w:hAnsi="楷体_GB2312" w:eastAsia="楷体_GB2312" w:cs="楷体_GB2312"/>
          <w:b/>
          <w:snapToGrid w:val="0"/>
          <w:color w:val="000000" w:themeColor="text1"/>
          <w:kern w:val="0"/>
          <w:sz w:val="32"/>
          <w:szCs w:val="32"/>
          <w14:textFill>
            <w14:solidFill>
              <w14:schemeClr w14:val="tx1"/>
            </w14:solidFill>
          </w14:textFill>
        </w:rPr>
      </w:pPr>
      <w:r>
        <w:rPr>
          <w:rFonts w:hint="eastAsia" w:ascii="楷体_GB2312" w:hAnsi="楷体_GB2312" w:eastAsia="楷体_GB2312" w:cs="楷体_GB2312"/>
          <w:b/>
          <w:snapToGrid w:val="0"/>
          <w:color w:val="000000" w:themeColor="text1"/>
          <w:kern w:val="0"/>
          <w:sz w:val="32"/>
          <w:szCs w:val="32"/>
          <w:lang w:val="zh-CN"/>
          <w14:textFill>
            <w14:solidFill>
              <w14:schemeClr w14:val="tx1"/>
            </w14:solidFill>
          </w14:textFill>
        </w:rPr>
        <w:t>2.建筑密度、绿地率、</w:t>
      </w:r>
      <w:r>
        <w:rPr>
          <w:rFonts w:hint="eastAsia" w:ascii="楷体_GB2312" w:hAnsi="楷体_GB2312" w:eastAsia="楷体_GB2312" w:cs="楷体_GB2312"/>
          <w:b/>
          <w:snapToGrid w:val="0"/>
          <w:color w:val="000000" w:themeColor="text1"/>
          <w:kern w:val="0"/>
          <w:sz w:val="32"/>
          <w:szCs w:val="32"/>
          <w14:textFill>
            <w14:solidFill>
              <w14:schemeClr w14:val="tx1"/>
            </w14:solidFill>
          </w14:textFill>
        </w:rPr>
        <w:t>建筑间距、退让、面宽</w:t>
      </w:r>
    </w:p>
    <w:p>
      <w:pPr>
        <w:widowControl w:val="0"/>
        <w:spacing w:line="580" w:lineRule="exact"/>
        <w:ind w:firstLine="642"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（1）</w:t>
      </w:r>
      <w:r>
        <w:rPr>
          <w:rFonts w:hint="eastAsia" w:ascii="仿宋_GB2312" w:hAnsi="仿宋_GB2312" w:eastAsia="仿宋_GB2312" w:cs="仿宋_GB2312"/>
          <w:b/>
          <w:bCs/>
          <w:snapToGrid w:val="0"/>
          <w:color w:val="000000" w:themeColor="text1"/>
          <w:kern w:val="0"/>
          <w:sz w:val="32"/>
          <w:szCs w:val="32"/>
          <w:lang w:val="zh-CN"/>
          <w14:textFill>
            <w14:solidFill>
              <w14:schemeClr w14:val="tx1"/>
            </w14:solidFill>
          </w14:textFill>
        </w:rPr>
        <w:t>建筑密度：</w:t>
      </w:r>
      <w:r>
        <w:rPr>
          <w:rFonts w:hint="eastAsia" w:ascii="仿宋_GB2312" w:hAnsi="仿宋_GB2312" w:eastAsia="仿宋_GB2312" w:cs="仿宋_GB2312"/>
          <w:snapToGrid w:val="0"/>
          <w:kern w:val="0"/>
          <w:sz w:val="32"/>
          <w:szCs w:val="32"/>
          <w:lang w:val="zh-CN"/>
        </w:rPr>
        <w:t>按首层建筑基底面积标准计算，且应符合《城市居住区规划设计标准》(GB50180—2018)。</w:t>
      </w:r>
    </w:p>
    <w:p>
      <w:pPr>
        <w:widowControl w:val="0"/>
        <w:spacing w:line="580" w:lineRule="exact"/>
        <w:ind w:firstLine="642"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（2）绿地率：</w:t>
      </w:r>
      <w:r>
        <w:rPr>
          <w:rFonts w:hint="eastAsia" w:ascii="仿宋_GB2312" w:hAnsi="仿宋_GB2312" w:eastAsia="仿宋_GB2312" w:cs="仿宋_GB2312"/>
          <w:snapToGrid w:val="0"/>
          <w:kern w:val="0"/>
          <w:sz w:val="32"/>
          <w:szCs w:val="32"/>
          <w:lang w:val="zh-CN"/>
        </w:rPr>
        <w:t>“空中花园”的覆土植绿面积的20%纳入绿地率计算。</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lang w:val="zh-CN"/>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（3）</w:t>
      </w:r>
      <w:r>
        <w:rPr>
          <w:rFonts w:hint="eastAsia" w:ascii="仿宋_GB2312" w:hAnsi="仿宋_GB2312" w:eastAsia="仿宋_GB2312" w:cs="仿宋_GB2312"/>
          <w:b/>
          <w:bCs/>
          <w:snapToGrid w:val="0"/>
          <w:color w:val="000000" w:themeColor="text1"/>
          <w:kern w:val="0"/>
          <w:sz w:val="32"/>
          <w:szCs w:val="32"/>
          <w:lang w:val="zh-CN"/>
          <w14:textFill>
            <w14:solidFill>
              <w14:schemeClr w14:val="tx1"/>
            </w14:solidFill>
          </w14:textFill>
        </w:rPr>
        <w:t>建筑间距：</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正面</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建筑间距按建筑主体外墙间距计算</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侧面建筑间距按建筑</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挑台</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最外侧计算</w:t>
      </w:r>
      <w:r>
        <w:rPr>
          <w:rFonts w:hint="eastAsia" w:ascii="仿宋_GB2312" w:hAnsi="仿宋_GB2312" w:eastAsia="仿宋_GB2312" w:cs="仿宋_GB2312"/>
          <w:snapToGrid w:val="0"/>
          <w:color w:val="000000" w:themeColor="text1"/>
          <w:kern w:val="0"/>
          <w:sz w:val="32"/>
          <w:szCs w:val="32"/>
          <w:lang w:val="zh-CN"/>
          <w14:textFill>
            <w14:solidFill>
              <w14:schemeClr w14:val="tx1"/>
            </w14:solidFill>
          </w14:textFill>
        </w:rPr>
        <w:t>。</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（4）</w:t>
      </w:r>
      <w:r>
        <w:rPr>
          <w:rFonts w:hint="eastAsia" w:ascii="仿宋_GB2312" w:hAnsi="仿宋_GB2312" w:eastAsia="仿宋_GB2312" w:cs="仿宋_GB2312"/>
          <w:b/>
          <w:bCs/>
          <w:snapToGrid w:val="0"/>
          <w:color w:val="000000" w:themeColor="text1"/>
          <w:kern w:val="0"/>
          <w:sz w:val="32"/>
          <w:szCs w:val="32"/>
          <w:lang w:val="zh-CN"/>
          <w14:textFill>
            <w14:solidFill>
              <w14:schemeClr w14:val="tx1"/>
            </w14:solidFill>
          </w14:textFill>
        </w:rPr>
        <w:t>建筑退让：</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建筑退让距离按建筑挑台最外侧计算，建筑控制线距离道路红线大于等于</w:t>
      </w:r>
      <w:r>
        <w:rPr>
          <w:rFonts w:ascii="仿宋_GB2312" w:hAnsi="仿宋_GB2312" w:eastAsia="仿宋_GB2312" w:cs="仿宋_GB2312"/>
          <w:snapToGrid w:val="0"/>
          <w:color w:val="000000" w:themeColor="text1"/>
          <w:kern w:val="0"/>
          <w:sz w:val="32"/>
          <w:szCs w:val="32"/>
          <w14:textFill>
            <w14:solidFill>
              <w14:schemeClr w14:val="tx1"/>
            </w14:solidFill>
          </w14:textFill>
        </w:rPr>
        <w:t>20</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米时，建筑退让距离可减少1.5米。</w:t>
      </w:r>
    </w:p>
    <w:p>
      <w:pPr>
        <w:widowControl w:val="0"/>
        <w:spacing w:line="580" w:lineRule="exact"/>
        <w:ind w:firstLine="642" w:firstLineChars="200"/>
        <w:rPr>
          <w:rFonts w:ascii="仿宋_GB2312" w:hAnsi="仿宋_GB2312" w:eastAsia="仿宋_GB2312" w:cs="仿宋_GB2312"/>
          <w:snapToGrid w:val="0"/>
          <w:color w:val="000000" w:themeColor="text1"/>
          <w:kern w:val="0"/>
          <w:sz w:val="32"/>
          <w:szCs w:val="32"/>
          <w:lang w:val="zh-CN"/>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14:textFill>
            <w14:solidFill>
              <w14:schemeClr w14:val="tx1"/>
            </w14:solidFill>
          </w14:textFill>
        </w:rPr>
        <w:t>（5）建筑面宽：</w:t>
      </w: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空中花园挑出部分不计入面宽。</w:t>
      </w:r>
    </w:p>
    <w:p>
      <w:pPr>
        <w:widowControl w:val="0"/>
        <w:spacing w:line="580" w:lineRule="exact"/>
        <w:ind w:firstLine="642" w:firstLineChars="200"/>
        <w:rPr>
          <w:rFonts w:ascii="楷体_GB2312" w:hAnsi="楷体_GB2312" w:eastAsia="楷体_GB2312" w:cs="楷体_GB2312"/>
          <w:b/>
          <w:snapToGrid w:val="0"/>
          <w:color w:val="000000" w:themeColor="text1"/>
          <w:kern w:val="0"/>
          <w:sz w:val="32"/>
          <w:szCs w:val="32"/>
          <w:lang w:val="zh-CN"/>
          <w14:textFill>
            <w14:solidFill>
              <w14:schemeClr w14:val="tx1"/>
            </w14:solidFill>
          </w14:textFill>
        </w:rPr>
      </w:pPr>
      <w:r>
        <w:rPr>
          <w:rFonts w:hint="eastAsia" w:ascii="楷体_GB2312" w:hAnsi="楷体_GB2312" w:eastAsia="楷体_GB2312" w:cs="楷体_GB2312"/>
          <w:b/>
          <w:snapToGrid w:val="0"/>
          <w:color w:val="000000" w:themeColor="text1"/>
          <w:kern w:val="0"/>
          <w:sz w:val="32"/>
          <w:szCs w:val="32"/>
          <w:lang w:val="zh-CN"/>
          <w14:textFill>
            <w14:solidFill>
              <w14:schemeClr w14:val="tx1"/>
            </w14:solidFill>
          </w14:textFill>
        </w:rPr>
        <w:t>3.其他条件</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snapToGrid w:val="0"/>
          <w:color w:val="000000" w:themeColor="text1"/>
          <w:kern w:val="0"/>
          <w:sz w:val="32"/>
          <w:szCs w:val="32"/>
          <w14:textFill>
            <w14:solidFill>
              <w14:schemeClr w14:val="tx1"/>
            </w14:solidFill>
          </w14:textFill>
        </w:rPr>
        <w:t>（1）</w:t>
      </w:r>
      <w:r>
        <w:rPr>
          <w:rFonts w:hint="eastAsia" w:ascii="仿宋_GB2312" w:hAnsi="仿宋_GB2312" w:eastAsia="仿宋_GB2312" w:cs="仿宋_GB2312"/>
          <w:snapToGrid w:val="0"/>
          <w:kern w:val="0"/>
          <w:sz w:val="32"/>
          <w:szCs w:val="32"/>
          <w:lang w:val="zh-CN"/>
        </w:rPr>
        <w:t>建设项目日照</w:t>
      </w:r>
      <w:r>
        <w:rPr>
          <w:rFonts w:hint="eastAsia" w:ascii="仿宋_GB2312" w:hAnsi="仿宋_GB2312" w:eastAsia="仿宋_GB2312" w:cs="仿宋_GB2312"/>
          <w:snapToGrid w:val="0"/>
          <w:kern w:val="0"/>
          <w:sz w:val="32"/>
          <w:szCs w:val="32"/>
        </w:rPr>
        <w:t>分析，</w:t>
      </w:r>
      <w:r>
        <w:rPr>
          <w:rFonts w:hint="eastAsia" w:ascii="仿宋_GB2312" w:hAnsi="仿宋_GB2312" w:eastAsia="仿宋_GB2312" w:cs="仿宋_GB2312"/>
          <w:snapToGrid w:val="0"/>
          <w:kern w:val="0"/>
          <w:sz w:val="32"/>
          <w:szCs w:val="32"/>
          <w:lang w:val="zh-CN"/>
        </w:rPr>
        <w:t>根据《建筑日照计算参数标准》</w:t>
      </w:r>
      <w:r>
        <w:rPr>
          <w:rFonts w:hint="eastAsia" w:ascii="仿宋_GB2312" w:hAnsi="仿宋_GB2312" w:eastAsia="仿宋_GB2312" w:cs="仿宋_GB2312"/>
          <w:snapToGrid w:val="0"/>
          <w:kern w:val="0"/>
          <w:sz w:val="32"/>
          <w:szCs w:val="32"/>
        </w:rPr>
        <w:t>GB/T50947—2014，“空中花园”</w:t>
      </w:r>
      <w:r>
        <w:rPr>
          <w:rFonts w:hint="eastAsia" w:ascii="仿宋_GB2312" w:hAnsi="仿宋_GB2312" w:eastAsia="仿宋_GB2312" w:cs="仿宋_GB2312"/>
          <w:snapToGrid w:val="0"/>
          <w:kern w:val="0"/>
          <w:sz w:val="32"/>
          <w:szCs w:val="32"/>
          <w:lang w:val="zh-CN"/>
        </w:rPr>
        <w:t>均需按照遮挡物计算日照影响，按照</w:t>
      </w:r>
      <w:r>
        <w:rPr>
          <w:rFonts w:hint="eastAsia" w:ascii="仿宋_GB2312" w:hAnsi="仿宋_GB2312" w:eastAsia="仿宋_GB2312" w:cs="仿宋_GB2312"/>
          <w:snapToGrid w:val="0"/>
          <w:kern w:val="0"/>
          <w:sz w:val="32"/>
          <w:szCs w:val="32"/>
        </w:rPr>
        <w:t>不低于</w:t>
      </w:r>
      <w:r>
        <w:rPr>
          <w:rFonts w:hint="eastAsia" w:ascii="仿宋_GB2312" w:hAnsi="仿宋_GB2312" w:eastAsia="仿宋_GB2312" w:cs="仿宋_GB2312"/>
          <w:snapToGrid w:val="0"/>
          <w:kern w:val="0"/>
          <w:sz w:val="32"/>
          <w:szCs w:val="32"/>
          <w:lang w:val="zh-CN"/>
        </w:rPr>
        <w:t>大寒日2小时日照技术标准执行。</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snapToGrid w:val="0"/>
          <w:kern w:val="0"/>
          <w:sz w:val="32"/>
          <w:szCs w:val="32"/>
        </w:rPr>
        <w:t>（2）</w:t>
      </w:r>
      <w:r>
        <w:rPr>
          <w:rFonts w:hint="eastAsia" w:ascii="仿宋_GB2312" w:hAnsi="仿宋_GB2312" w:eastAsia="仿宋_GB2312" w:cs="仿宋_GB2312"/>
          <w:snapToGrid w:val="0"/>
          <w:kern w:val="0"/>
          <w:sz w:val="32"/>
          <w:szCs w:val="32"/>
          <w:lang w:val="zh-CN"/>
        </w:rPr>
        <w:t>城市森林花园</w:t>
      </w:r>
      <w:r>
        <w:rPr>
          <w:rFonts w:hint="eastAsia" w:ascii="仿宋_GB2312" w:hAnsi="仿宋_GB2312" w:eastAsia="仿宋_GB2312" w:cs="仿宋_GB2312"/>
          <w:snapToGrid w:val="0"/>
          <w:kern w:val="0"/>
          <w:sz w:val="32"/>
          <w:szCs w:val="32"/>
        </w:rPr>
        <w:t>住宅不计入地上容积率部分</w:t>
      </w:r>
      <w:r>
        <w:rPr>
          <w:rFonts w:hint="eastAsia" w:ascii="仿宋_GB2312" w:hAnsi="仿宋_GB2312" w:eastAsia="仿宋_GB2312" w:cs="仿宋_GB2312"/>
          <w:snapToGrid w:val="0"/>
          <w:kern w:val="0"/>
          <w:sz w:val="32"/>
          <w:szCs w:val="32"/>
          <w:lang w:val="zh-CN"/>
        </w:rPr>
        <w:t>，可减免城市基础设施配套费。</w:t>
      </w:r>
    </w:p>
    <w:p>
      <w:pPr>
        <w:widowControl w:val="0"/>
        <w:spacing w:line="580" w:lineRule="exact"/>
        <w:ind w:firstLine="640" w:firstLineChars="200"/>
        <w:rPr>
          <w:rFonts w:ascii="黑体" w:hAnsi="黑体" w:eastAsia="黑体" w:cs="黑体"/>
          <w:snapToGrid w:val="0"/>
          <w:kern w:val="0"/>
          <w:sz w:val="32"/>
          <w:szCs w:val="32"/>
          <w:lang w:val="zh-CN"/>
        </w:rPr>
      </w:pPr>
      <w:r>
        <w:rPr>
          <w:rFonts w:hint="eastAsia" w:ascii="黑体" w:hAnsi="黑体" w:eastAsia="黑体" w:cs="黑体"/>
          <w:snapToGrid w:val="0"/>
          <w:kern w:val="0"/>
          <w:sz w:val="32"/>
          <w:szCs w:val="32"/>
        </w:rPr>
        <w:t>五、</w:t>
      </w:r>
      <w:r>
        <w:rPr>
          <w:rFonts w:hint="eastAsia" w:ascii="黑体" w:hAnsi="黑体" w:eastAsia="黑体" w:cs="黑体"/>
          <w:snapToGrid w:val="0"/>
          <w:kern w:val="0"/>
          <w:sz w:val="32"/>
          <w:szCs w:val="32"/>
          <w:lang w:val="zh-CN"/>
        </w:rPr>
        <w:t>保障措施</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hint="eastAsia" w:ascii="仿宋_GB2312" w:hAnsi="仿宋_GB2312" w:eastAsia="仿宋_GB2312" w:cs="仿宋_GB2312"/>
          <w:snapToGrid w:val="0"/>
          <w:kern w:val="0"/>
          <w:sz w:val="32"/>
          <w:szCs w:val="32"/>
          <w:lang w:val="zh-CN"/>
        </w:rPr>
        <w:t>1</w:t>
      </w:r>
      <w:r>
        <w:rPr>
          <w:rFonts w:ascii="仿宋_GB2312" w:hAnsi="仿宋_GB2312" w:eastAsia="仿宋_GB2312" w:cs="仿宋_GB2312"/>
          <w:snapToGrid w:val="0"/>
          <w:kern w:val="0"/>
          <w:sz w:val="32"/>
          <w:szCs w:val="32"/>
          <w:lang w:val="zh-CN"/>
        </w:rPr>
        <w:t>.</w:t>
      </w:r>
      <w:r>
        <w:rPr>
          <w:rFonts w:hint="eastAsia" w:ascii="仿宋_GB2312" w:hAnsi="仿宋_GB2312" w:eastAsia="仿宋_GB2312" w:cs="仿宋_GB2312"/>
          <w:snapToGrid w:val="0"/>
          <w:kern w:val="0"/>
          <w:sz w:val="32"/>
          <w:szCs w:val="32"/>
          <w:lang w:val="zh-CN"/>
        </w:rPr>
        <w:t>“空中花园”的景观绿化与工程项目同步规划、同步实施、同步验收，统一管理。</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ascii="仿宋_GB2312" w:hAnsi="仿宋_GB2312" w:eastAsia="仿宋_GB2312" w:cs="仿宋_GB2312"/>
          <w:snapToGrid w:val="0"/>
          <w:kern w:val="0"/>
          <w:sz w:val="32"/>
          <w:szCs w:val="32"/>
          <w:lang w:val="zh-CN"/>
        </w:rPr>
        <w:t>2.</w:t>
      </w:r>
      <w:r>
        <w:rPr>
          <w:rFonts w:hint="eastAsia" w:ascii="仿宋_GB2312" w:hAnsi="仿宋_GB2312" w:eastAsia="仿宋_GB2312" w:cs="仿宋_GB2312"/>
          <w:snapToGrid w:val="0"/>
          <w:kern w:val="0"/>
          <w:sz w:val="32"/>
          <w:szCs w:val="32"/>
          <w:lang w:val="zh-CN"/>
        </w:rPr>
        <w:t>市自然资源、住建、综合执法、规划等部门要将试点项目空中花园的绿化实施情况纳入建设项目竣工验收。验收不合格或擅自改变功能的，不享受试点支持政策，按违法建设处理。</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ascii="仿宋_GB2312" w:hAnsi="仿宋_GB2312" w:eastAsia="仿宋_GB2312" w:cs="仿宋_GB2312"/>
          <w:snapToGrid w:val="0"/>
          <w:kern w:val="0"/>
          <w:sz w:val="32"/>
          <w:szCs w:val="32"/>
          <w:lang w:val="zh-CN"/>
        </w:rPr>
        <w:t>3.</w:t>
      </w:r>
      <w:r>
        <w:rPr>
          <w:rFonts w:hint="eastAsia" w:ascii="仿宋_GB2312" w:hAnsi="仿宋_GB2312" w:eastAsia="仿宋_GB2312" w:cs="仿宋_GB2312"/>
          <w:snapToGrid w:val="0"/>
          <w:kern w:val="0"/>
          <w:sz w:val="32"/>
          <w:szCs w:val="32"/>
          <w:lang w:val="zh-CN"/>
        </w:rPr>
        <w:t>开发建设单位须严格按照</w:t>
      </w:r>
      <w:r>
        <w:rPr>
          <w:rFonts w:hint="eastAsia" w:ascii="仿宋_GB2312" w:hAnsi="仿宋_GB2312" w:eastAsia="仿宋_GB2312" w:cs="仿宋_GB2312"/>
          <w:snapToGrid w:val="0"/>
          <w:kern w:val="0"/>
          <w:sz w:val="32"/>
          <w:szCs w:val="32"/>
        </w:rPr>
        <w:t>规划</w:t>
      </w:r>
      <w:r>
        <w:rPr>
          <w:rFonts w:hint="eastAsia" w:ascii="仿宋_GB2312" w:hAnsi="仿宋_GB2312" w:eastAsia="仿宋_GB2312" w:cs="仿宋_GB2312"/>
          <w:snapToGrid w:val="0"/>
          <w:kern w:val="0"/>
          <w:sz w:val="32"/>
          <w:szCs w:val="32"/>
          <w:lang w:val="zh-CN"/>
        </w:rPr>
        <w:t>进行建设，不应私自改变建筑形式，一经发现，严肃查处；须将空中花园用途及相关义务纳入房屋销售合同，明确业主后期管理和维护义务，并</w:t>
      </w:r>
      <w:r>
        <w:rPr>
          <w:rFonts w:hint="eastAsia" w:ascii="仿宋_GB2312" w:hAnsi="仿宋_GB2312" w:eastAsia="仿宋_GB2312" w:cs="仿宋_GB2312"/>
          <w:snapToGrid w:val="0"/>
          <w:kern w:val="0"/>
          <w:sz w:val="32"/>
          <w:szCs w:val="32"/>
        </w:rPr>
        <w:t>签订</w:t>
      </w:r>
      <w:r>
        <w:rPr>
          <w:rFonts w:hint="eastAsia" w:ascii="仿宋_GB2312" w:hAnsi="仿宋_GB2312" w:eastAsia="仿宋_GB2312" w:cs="仿宋_GB2312"/>
          <w:snapToGrid w:val="0"/>
          <w:kern w:val="0"/>
          <w:sz w:val="32"/>
          <w:szCs w:val="32"/>
          <w:lang w:val="zh-CN"/>
        </w:rPr>
        <w:t>购房业主承诺书。</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ascii="仿宋_GB2312" w:hAnsi="仿宋_GB2312" w:eastAsia="仿宋_GB2312" w:cs="仿宋_GB2312"/>
          <w:snapToGrid w:val="0"/>
          <w:kern w:val="0"/>
          <w:sz w:val="32"/>
          <w:szCs w:val="32"/>
          <w:lang w:val="zh-CN"/>
        </w:rPr>
        <w:t>4.</w:t>
      </w:r>
      <w:r>
        <w:rPr>
          <w:rFonts w:hint="eastAsia" w:ascii="仿宋_GB2312" w:hAnsi="仿宋_GB2312" w:eastAsia="仿宋_GB2312" w:cs="仿宋_GB2312"/>
          <w:snapToGrid w:val="0"/>
          <w:kern w:val="0"/>
          <w:sz w:val="32"/>
          <w:szCs w:val="32"/>
          <w:lang w:val="zh-CN"/>
        </w:rPr>
        <w:t>市住建、</w:t>
      </w:r>
      <w:r>
        <w:rPr>
          <w:rFonts w:hint="eastAsia" w:ascii="仿宋_GB2312" w:hAnsi="仿宋_GB2312" w:eastAsia="仿宋_GB2312" w:cs="仿宋_GB2312"/>
          <w:snapToGrid w:val="0"/>
          <w:kern w:val="0"/>
          <w:sz w:val="32"/>
          <w:szCs w:val="32"/>
        </w:rPr>
        <w:t>综合执法</w:t>
      </w:r>
      <w:r>
        <w:rPr>
          <w:rFonts w:hint="eastAsia" w:ascii="仿宋_GB2312" w:hAnsi="仿宋_GB2312" w:eastAsia="仿宋_GB2312" w:cs="仿宋_GB2312"/>
          <w:snapToGrid w:val="0"/>
          <w:kern w:val="0"/>
          <w:sz w:val="32"/>
          <w:szCs w:val="32"/>
          <w:lang w:val="zh-CN"/>
        </w:rPr>
        <w:t>等部门密切配合，加大建设项目竣工验收后的监管力度，坚决查处业主违法违规使用、封闭空中花园、改变绿化等用途的行为。</w:t>
      </w:r>
    </w:p>
    <w:p>
      <w:pPr>
        <w:widowControl w:val="0"/>
        <w:spacing w:line="580" w:lineRule="exact"/>
        <w:ind w:firstLine="640" w:firstLineChars="200"/>
        <w:rPr>
          <w:rFonts w:ascii="仿宋_GB2312" w:hAnsi="仿宋_GB2312" w:eastAsia="仿宋_GB2312" w:cs="仿宋_GB2312"/>
          <w:snapToGrid w:val="0"/>
          <w:kern w:val="0"/>
          <w:sz w:val="32"/>
          <w:szCs w:val="32"/>
          <w:lang w:val="zh-CN"/>
        </w:rPr>
      </w:pPr>
      <w:r>
        <w:rPr>
          <w:rFonts w:ascii="仿宋_GB2312" w:hAnsi="仿宋_GB2312" w:eastAsia="仿宋_GB2312" w:cs="仿宋_GB2312"/>
          <w:snapToGrid w:val="0"/>
          <w:kern w:val="0"/>
          <w:sz w:val="32"/>
          <w:szCs w:val="32"/>
          <w:lang w:val="zh-CN"/>
        </w:rPr>
        <w:t>5.</w:t>
      </w:r>
      <w:r>
        <w:rPr>
          <w:rFonts w:hint="eastAsia" w:ascii="仿宋_GB2312" w:hAnsi="仿宋_GB2312" w:eastAsia="仿宋_GB2312" w:cs="仿宋_GB2312"/>
          <w:snapToGrid w:val="0"/>
          <w:kern w:val="0"/>
          <w:sz w:val="32"/>
          <w:szCs w:val="32"/>
          <w:lang w:val="zh-CN"/>
        </w:rPr>
        <w:t>市</w:t>
      </w:r>
      <w:r>
        <w:rPr>
          <w:rFonts w:hint="eastAsia" w:ascii="仿宋_GB2312" w:hAnsi="仿宋_GB2312" w:eastAsia="仿宋_GB2312" w:cs="仿宋_GB2312"/>
          <w:snapToGrid w:val="0"/>
          <w:kern w:val="0"/>
          <w:sz w:val="32"/>
          <w:szCs w:val="32"/>
        </w:rPr>
        <w:t>住建</w:t>
      </w:r>
      <w:r>
        <w:rPr>
          <w:rFonts w:hint="eastAsia" w:ascii="仿宋_GB2312" w:hAnsi="仿宋_GB2312" w:eastAsia="仿宋_GB2312" w:cs="仿宋_GB2312"/>
          <w:snapToGrid w:val="0"/>
          <w:kern w:val="0"/>
          <w:sz w:val="32"/>
          <w:szCs w:val="32"/>
          <w:lang w:val="zh-CN"/>
        </w:rPr>
        <w:t>部门要督促物业服务企业，加强对空中花园的管理与服务，督促业主按照规范使用，保障城市森林花园</w:t>
      </w:r>
      <w:r>
        <w:rPr>
          <w:rFonts w:hint="eastAsia" w:ascii="仿宋_GB2312" w:hAnsi="仿宋_GB2312" w:eastAsia="仿宋_GB2312" w:cs="仿宋_GB2312"/>
          <w:snapToGrid w:val="0"/>
          <w:kern w:val="0"/>
          <w:sz w:val="32"/>
          <w:szCs w:val="32"/>
        </w:rPr>
        <w:t>住宅</w:t>
      </w:r>
      <w:r>
        <w:rPr>
          <w:rFonts w:hint="eastAsia" w:ascii="仿宋_GB2312" w:hAnsi="仿宋_GB2312" w:eastAsia="仿宋_GB2312" w:cs="仿宋_GB2312"/>
          <w:snapToGrid w:val="0"/>
          <w:kern w:val="0"/>
          <w:sz w:val="32"/>
          <w:szCs w:val="32"/>
          <w:lang w:val="zh-CN"/>
        </w:rPr>
        <w:t>建筑正常运行。</w:t>
      </w:r>
    </w:p>
    <w:p>
      <w:pPr>
        <w:widowControl w:val="0"/>
        <w:spacing w:line="580" w:lineRule="exact"/>
        <w:ind w:firstLine="640" w:firstLineChars="200"/>
        <w:rPr>
          <w:rFonts w:ascii="黑体" w:hAnsi="黑体" w:eastAsia="黑体" w:cs="黑体"/>
          <w:snapToGrid w:val="0"/>
          <w:kern w:val="0"/>
          <w:sz w:val="32"/>
          <w:szCs w:val="32"/>
          <w:lang w:val="zh-CN"/>
        </w:rPr>
      </w:pPr>
      <w:r>
        <w:rPr>
          <w:rFonts w:hint="eastAsia" w:ascii="黑体" w:hAnsi="黑体" w:eastAsia="黑体" w:cs="黑体"/>
          <w:snapToGrid w:val="0"/>
          <w:kern w:val="0"/>
          <w:sz w:val="32"/>
          <w:szCs w:val="32"/>
        </w:rPr>
        <w:t>六、附则</w:t>
      </w:r>
    </w:p>
    <w:p>
      <w:pPr>
        <w:pStyle w:val="7"/>
        <w:widowControl w:val="0"/>
        <w:shd w:val="clear" w:color="auto" w:fill="FFFFFF"/>
        <w:spacing w:beforeAutospacing="0" w:afterAutospacing="0" w:line="580" w:lineRule="exact"/>
        <w:ind w:firstLine="640" w:firstLineChars="200"/>
        <w:jc w:val="both"/>
        <w:textAlignment w:val="baseline"/>
        <w:rPr>
          <w:rFonts w:ascii="仿宋_GB2312" w:hAnsi="仿宋_GB2312" w:eastAsia="仿宋_GB2312" w:cs="仿宋_GB2312"/>
          <w:snapToGrid w:val="0"/>
          <w:color w:val="000000"/>
          <w:sz w:val="32"/>
          <w:szCs w:val="32"/>
          <w:shd w:val="clear" w:color="auto" w:fill="FFFFFF"/>
        </w:rPr>
      </w:pPr>
      <w:r>
        <w:rPr>
          <w:rFonts w:hint="eastAsia" w:ascii="仿宋_GB2312" w:hAnsi="仿宋_GB2312" w:eastAsia="仿宋_GB2312" w:cs="仿宋_GB2312"/>
          <w:snapToGrid w:val="0"/>
          <w:color w:val="000000"/>
          <w:sz w:val="32"/>
          <w:szCs w:val="32"/>
          <w:shd w:val="clear" w:color="auto" w:fill="FFFFFF"/>
        </w:rPr>
        <w:t>1</w:t>
      </w:r>
      <w:r>
        <w:rPr>
          <w:rFonts w:ascii="仿宋_GB2312" w:hAnsi="仿宋_GB2312" w:eastAsia="仿宋_GB2312" w:cs="仿宋_GB2312"/>
          <w:snapToGrid w:val="0"/>
          <w:color w:val="000000"/>
          <w:sz w:val="32"/>
          <w:szCs w:val="32"/>
          <w:shd w:val="clear" w:color="auto" w:fill="FFFFFF"/>
        </w:rPr>
        <w:t>.本</w:t>
      </w:r>
      <w:r>
        <w:rPr>
          <w:rFonts w:hint="eastAsia" w:ascii="仿宋_GB2312" w:hAnsi="仿宋_GB2312" w:eastAsia="仿宋_GB2312" w:cs="仿宋_GB2312"/>
          <w:snapToGrid w:val="0"/>
          <w:sz w:val="32"/>
          <w:szCs w:val="32"/>
        </w:rPr>
        <w:t>实施意见由</w:t>
      </w:r>
      <w:r>
        <w:rPr>
          <w:rFonts w:ascii="仿宋_GB2312" w:hAnsi="仿宋_GB2312" w:eastAsia="仿宋_GB2312" w:cs="仿宋_GB2312"/>
          <w:snapToGrid w:val="0"/>
          <w:color w:val="000000"/>
          <w:sz w:val="32"/>
          <w:szCs w:val="32"/>
          <w:shd w:val="clear" w:color="auto" w:fill="FFFFFF"/>
        </w:rPr>
        <w:t>市自然资源</w:t>
      </w:r>
      <w:r>
        <w:rPr>
          <w:rFonts w:hint="eastAsia" w:ascii="仿宋_GB2312" w:hAnsi="仿宋_GB2312" w:eastAsia="仿宋_GB2312" w:cs="仿宋_GB2312"/>
          <w:snapToGrid w:val="0"/>
          <w:color w:val="000000"/>
          <w:sz w:val="32"/>
          <w:szCs w:val="32"/>
          <w:shd w:val="clear" w:color="auto" w:fill="FFFFFF"/>
        </w:rPr>
        <w:t>局负责</w:t>
      </w:r>
      <w:r>
        <w:rPr>
          <w:rFonts w:ascii="仿宋_GB2312" w:hAnsi="仿宋_GB2312" w:eastAsia="仿宋_GB2312" w:cs="仿宋_GB2312"/>
          <w:snapToGrid w:val="0"/>
          <w:color w:val="000000"/>
          <w:sz w:val="32"/>
          <w:szCs w:val="32"/>
          <w:shd w:val="clear" w:color="auto" w:fill="FFFFFF"/>
        </w:rPr>
        <w:t>解释</w:t>
      </w:r>
      <w:r>
        <w:rPr>
          <w:rFonts w:hint="eastAsia" w:ascii="仿宋_GB2312" w:hAnsi="仿宋_GB2312" w:eastAsia="仿宋_GB2312" w:cs="仿宋_GB2312"/>
          <w:snapToGrid w:val="0"/>
          <w:color w:val="000000"/>
          <w:sz w:val="32"/>
          <w:szCs w:val="32"/>
          <w:shd w:val="clear" w:color="auto" w:fill="FFFFFF"/>
        </w:rPr>
        <w:t>说明。</w:t>
      </w:r>
    </w:p>
    <w:p>
      <w:pPr>
        <w:pStyle w:val="7"/>
        <w:widowControl w:val="0"/>
        <w:shd w:val="clear" w:color="auto" w:fill="FFFFFF"/>
        <w:spacing w:beforeAutospacing="0" w:afterAutospacing="0" w:line="580" w:lineRule="exact"/>
        <w:ind w:firstLine="640" w:firstLineChars="200"/>
        <w:jc w:val="both"/>
        <w:textAlignment w:val="baseline"/>
        <w:rPr>
          <w:rFonts w:ascii="仿宋_GB2312" w:hAnsi="仿宋_GB2312" w:eastAsia="仿宋_GB2312" w:cs="仿宋_GB2312"/>
          <w:snapToGrid w:val="0"/>
          <w:sz w:val="32"/>
          <w:szCs w:val="32"/>
        </w:rPr>
      </w:pPr>
      <w:r>
        <w:rPr>
          <w:rFonts w:hint="eastAsia" w:ascii="仿宋_GB2312" w:hAnsi="仿宋_GB2312" w:eastAsia="仿宋_GB2312" w:cs="仿宋_GB2312"/>
          <w:snapToGrid w:val="0"/>
          <w:color w:val="000000"/>
          <w:sz w:val="32"/>
          <w:szCs w:val="32"/>
          <w:shd w:val="clear" w:color="auto" w:fill="FFFFFF"/>
        </w:rPr>
        <w:t>2</w:t>
      </w:r>
      <w:r>
        <w:rPr>
          <w:rFonts w:ascii="仿宋_GB2312" w:hAnsi="仿宋_GB2312" w:eastAsia="仿宋_GB2312" w:cs="仿宋_GB2312"/>
          <w:snapToGrid w:val="0"/>
          <w:color w:val="000000"/>
          <w:sz w:val="32"/>
          <w:szCs w:val="32"/>
          <w:shd w:val="clear" w:color="auto" w:fill="FFFFFF"/>
        </w:rPr>
        <w:t>.本</w:t>
      </w:r>
      <w:r>
        <w:rPr>
          <w:rFonts w:hint="eastAsia" w:ascii="仿宋_GB2312" w:hAnsi="仿宋_GB2312" w:eastAsia="仿宋_GB2312" w:cs="仿宋_GB2312"/>
          <w:snapToGrid w:val="0"/>
          <w:sz w:val="32"/>
          <w:szCs w:val="32"/>
        </w:rPr>
        <w:t>实施意见</w:t>
      </w:r>
      <w:r>
        <w:rPr>
          <w:rFonts w:hint="eastAsia" w:ascii="仿宋_GB2312" w:hAnsi="仿宋_GB2312" w:eastAsia="仿宋_GB2312" w:cs="仿宋_GB2312"/>
          <w:snapToGrid w:val="0"/>
          <w:color w:val="000000"/>
          <w:sz w:val="32"/>
          <w:szCs w:val="32"/>
          <w:shd w:val="clear" w:color="auto" w:fill="FFFFFF"/>
        </w:rPr>
        <w:t>本规定自2023年4月28日起施行，有效期至2026年4月28日。</w:t>
      </w:r>
    </w:p>
    <w:p>
      <w:pPr>
        <w:widowControl w:val="0"/>
        <w:spacing w:line="580" w:lineRule="exact"/>
        <w:ind w:firstLine="5504" w:firstLineChars="1720"/>
        <w:rPr>
          <w:rFonts w:ascii="仿宋_GB2312" w:eastAsia="仿宋_GB2312"/>
          <w:snapToGrid w:val="0"/>
          <w:kern w:val="0"/>
          <w:sz w:val="32"/>
          <w:szCs w:val="32"/>
        </w:rPr>
      </w:pPr>
    </w:p>
    <w:p>
      <w:pPr>
        <w:widowControl w:val="0"/>
        <w:spacing w:line="580" w:lineRule="exact"/>
        <w:ind w:firstLine="5504" w:firstLineChars="1720"/>
        <w:rPr>
          <w:rFonts w:ascii="仿宋_GB2312" w:eastAsia="仿宋_GB2312"/>
          <w:snapToGrid w:val="0"/>
          <w:kern w:val="0"/>
          <w:sz w:val="32"/>
          <w:szCs w:val="32"/>
        </w:rPr>
      </w:pPr>
    </w:p>
    <w:p>
      <w:pPr>
        <w:widowControl w:val="0"/>
        <w:spacing w:line="580" w:lineRule="exact"/>
        <w:ind w:firstLine="5120" w:firstLineChars="1600"/>
        <w:rPr>
          <w:rFonts w:ascii="仿宋_GB2312" w:eastAsia="仿宋_GB2312"/>
          <w:snapToGrid w:val="0"/>
          <w:kern w:val="0"/>
          <w:sz w:val="32"/>
          <w:szCs w:val="32"/>
        </w:rPr>
      </w:pPr>
      <w:r>
        <w:rPr>
          <w:rFonts w:hint="eastAsia" w:ascii="仿宋_GB2312" w:eastAsia="仿宋_GB2312"/>
          <w:snapToGrid w:val="0"/>
          <w:kern w:val="0"/>
          <w:sz w:val="32"/>
          <w:szCs w:val="32"/>
        </w:rPr>
        <w:t>滕州市人民政府</w:t>
      </w:r>
    </w:p>
    <w:p>
      <w:pPr>
        <w:widowControl w:val="0"/>
        <w:spacing w:line="580" w:lineRule="exact"/>
        <w:ind w:firstLine="5120" w:firstLineChars="1600"/>
        <w:rPr>
          <w:rFonts w:ascii="仿宋_GB2312" w:eastAsia="仿宋_GB2312"/>
          <w:snapToGrid w:val="0"/>
          <w:kern w:val="0"/>
          <w:sz w:val="32"/>
          <w:szCs w:val="32"/>
        </w:rPr>
      </w:pPr>
      <w:r>
        <w:rPr>
          <w:rFonts w:hint="eastAsia" w:ascii="仿宋_GB2312" w:eastAsia="仿宋_GB2312"/>
          <w:snapToGrid w:val="0"/>
          <w:kern w:val="0"/>
          <w:sz w:val="32"/>
          <w:szCs w:val="32"/>
        </w:rPr>
        <w:t>2023年4月28日</w:t>
      </w:r>
    </w:p>
    <w:p>
      <w:pPr>
        <w:widowControl w:val="0"/>
        <w:spacing w:line="580" w:lineRule="exact"/>
        <w:rPr>
          <w:rFonts w:eastAsia="仿宋_GB2312"/>
          <w:snapToGrid w:val="0"/>
          <w:kern w:val="0"/>
          <w:sz w:val="32"/>
          <w:szCs w:val="32"/>
        </w:rPr>
      </w:pPr>
      <w:r>
        <w:rPr>
          <w:rFonts w:hint="eastAsia" w:ascii="仿宋_GB2312" w:eastAsia="仿宋_GB2312"/>
          <w:snapToGrid w:val="0"/>
          <w:kern w:val="0"/>
          <w:sz w:val="32"/>
          <w:szCs w:val="32"/>
        </w:rPr>
        <w:t>（此件公开发布）</w:t>
      </w:r>
    </w:p>
    <w:p>
      <w:pPr>
        <w:spacing w:line="400" w:lineRule="exact"/>
        <w:jc w:val="right"/>
        <w:rPr>
          <w:rFonts w:ascii="仿宋_GB2312" w:hAnsi="仿宋_GB2312" w:eastAsia="仿宋_GB2312" w:cs="仿宋_GB2312"/>
          <w:sz w:val="32"/>
          <w:szCs w:val="32"/>
        </w:rPr>
      </w:pPr>
    </w:p>
    <w:p>
      <w:pPr>
        <w:spacing w:line="400" w:lineRule="exact"/>
        <w:jc w:val="right"/>
        <w:rPr>
          <w:rFonts w:ascii="仿宋_GB2312" w:hAnsi="仿宋_GB2312" w:eastAsia="仿宋_GB2312" w:cs="仿宋_GB2312"/>
          <w:sz w:val="32"/>
          <w:szCs w:val="32"/>
        </w:rPr>
      </w:pPr>
    </w:p>
    <w:p>
      <w:pPr>
        <w:spacing w:line="400" w:lineRule="exact"/>
        <w:jc w:val="right"/>
        <w:rPr>
          <w:rFonts w:ascii="仿宋_GB2312" w:hAnsi="仿宋_GB2312" w:eastAsia="仿宋_GB2312" w:cs="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left"/>
        <w:rPr>
          <w:rFonts w:ascii="仿宋_GB2312" w:hAnsi="Arial" w:eastAsia="仿宋_GB2312"/>
          <w:sz w:val="32"/>
          <w:szCs w:val="32"/>
        </w:rPr>
      </w:pPr>
      <w:r>
        <w:rPr>
          <w:rFonts w:hint="eastAsia" w:ascii="仿宋_GB2312" w:hAnsi="Arial" w:eastAsia="仿宋_GB2312"/>
          <w:sz w:val="32"/>
          <w:szCs w:val="32"/>
        </w:rPr>
        <w:t>（此页无正文）</w:t>
      </w: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p>
    <w:p>
      <w:pPr>
        <w:spacing w:line="400" w:lineRule="exact"/>
        <w:jc w:val="right"/>
        <w:rPr>
          <w:rFonts w:ascii="仿宋_GB2312" w:hAnsi="Arial" w:eastAsia="仿宋_GB2312"/>
          <w:sz w:val="32"/>
          <w:szCs w:val="32"/>
        </w:rPr>
      </w:pPr>
      <w: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165100</wp:posOffset>
                </wp:positionV>
                <wp:extent cx="5471795" cy="25400"/>
                <wp:effectExtent l="9525" t="12700" r="14605" b="9525"/>
                <wp:wrapNone/>
                <wp:docPr id="6" name="直接连接符 6"/>
                <wp:cNvGraphicFramePr/>
                <a:graphic xmlns:a="http://schemas.openxmlformats.org/drawingml/2006/main">
                  <a:graphicData uri="http://schemas.microsoft.com/office/word/2010/wordprocessingShape">
                    <wps:wsp>
                      <wps:cNvCnPr>
                        <a:cxnSpLocks noChangeShapeType="true"/>
                      </wps:cNvCnPr>
                      <wps:spPr bwMode="auto">
                        <a:xfrm>
                          <a:off x="0" y="0"/>
                          <a:ext cx="5471795" cy="2540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top:13pt;height:2pt;width:430.85pt;mso-position-horizontal:center;z-index:251660288;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NeuM/PUAAAA&#10;BgEAAA8AAAAAAAAAAQAgAAAAOAAAAGRycy9kb3ducmV2LnhtbFBLAQIUABQAAAAIAIdO4kD/1r6f&#10;0gEAAGQDAAAOAAAAAAAAAAEAIAAAADkBAABkcnMvZTJvRG9jLnhtbFBLBQYAAAAABgAGAFkBAAB9&#10;BQAAAAA=&#10;">
                <v:fill on="f" focussize="0,0"/>
                <v:stroke weight="1.5pt" color="#000000" joinstyle="round"/>
                <v:imagedata o:title=""/>
                <o:lock v:ext="edit" aspectratio="f"/>
              </v:line>
            </w:pict>
          </mc:Fallback>
        </mc:AlternateContent>
      </w:r>
    </w:p>
    <w:p>
      <w:pPr>
        <w:spacing w:line="400" w:lineRule="exact"/>
        <w:rPr>
          <w:rFonts w:ascii="仿宋_GB2312" w:eastAsia="仿宋_GB2312" w:cs="仿宋_GB2312"/>
          <w:sz w:val="28"/>
          <w:szCs w:val="28"/>
        </w:rPr>
      </w:pPr>
      <w:r>
        <w:rPr>
          <w:rFonts w:hint="eastAsia" w:ascii="仿宋_GB2312" w:eastAsia="仿宋_GB2312" w:cs="仿宋_GB2312"/>
          <w:b/>
          <w:bCs/>
          <w:sz w:val="28"/>
          <w:szCs w:val="28"/>
        </w:rPr>
        <w:t>抄送：</w:t>
      </w:r>
      <w:r>
        <w:rPr>
          <w:rFonts w:hint="eastAsia" w:ascii="仿宋_GB2312" w:eastAsia="仿宋_GB2312" w:cs="仿宋_GB2312"/>
          <w:sz w:val="28"/>
          <w:szCs w:val="28"/>
        </w:rPr>
        <w:t>市委各部门，市人大常委会办公室，市政协办公室，市监察委，</w:t>
      </w:r>
    </w:p>
    <w:p>
      <w:pPr>
        <w:spacing w:line="400" w:lineRule="exact"/>
        <w:ind w:firstLine="840" w:firstLineChars="300"/>
        <w:rPr>
          <w:rFonts w:ascii="仿宋_GB2312" w:eastAsia="仿宋_GB2312"/>
          <w:sz w:val="28"/>
          <w:szCs w:val="28"/>
        </w:rPr>
      </w:pPr>
      <w:r>
        <w:rPr>
          <w:rFonts w:hint="eastAsia" w:ascii="仿宋_GB2312" w:eastAsia="仿宋_GB2312" w:cs="仿宋_GB2312"/>
          <w:sz w:val="28"/>
          <w:szCs w:val="28"/>
        </w:rPr>
        <w:t>市法院，市检察院，市人武部。</w:t>
      </w:r>
    </w:p>
    <w:p>
      <w:pPr>
        <w:spacing w:line="200" w:lineRule="exact"/>
        <w:rPr>
          <w:rFonts w:ascii="仿宋_GB2312" w:eastAsia="仿宋_GB2312" w:cs="仿宋_GB2312"/>
          <w:sz w:val="28"/>
          <w:szCs w:val="28"/>
        </w:rPr>
      </w:pPr>
      <w: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38735</wp:posOffset>
                </wp:positionV>
                <wp:extent cx="5471795" cy="635"/>
                <wp:effectExtent l="9525" t="10160" r="5080" b="8255"/>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5471795" cy="635"/>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05pt;height:0.05pt;width:430.85pt;mso-position-horizontal:center;z-index:251661312;mso-width-relative:page;mso-height-relative:page;" filled="f" stroked="t" coordsize="21600,21600" o:gfxdata="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AyELYg0gAAAAQBAAAP&#10;AAAAAAAAAAEAIAAAADgAAABkcnMvZG93bnJldi54bWxQSwECFAAUAAAACACHTuJAjIdmOs8BAABh&#10;AwAADgAAAAAAAAABACAAAAA3AQAAZHJzL2Uyb0RvYy54bWxQSwUGAAAAAAYABgBZAQAAeAUAAAAA&#10;">
                <v:fill on="f" focussize="0,0"/>
                <v:stroke color="#000000" joinstyle="round"/>
                <v:imagedata o:title=""/>
                <o:lock v:ext="edit" aspectratio="f"/>
              </v:line>
            </w:pict>
          </mc:Fallback>
        </mc:AlternateContent>
      </w:r>
    </w:p>
    <w:p>
      <w:pPr>
        <w:spacing w:line="400" w:lineRule="exact"/>
        <w:jc w:val="center"/>
      </w:pPr>
      <w:r>
        <mc:AlternateContent>
          <mc:Choice Requires="wps">
            <w:drawing>
              <wp:anchor distT="0" distB="0" distL="114300" distR="114300" simplePos="0" relativeHeight="251662336" behindDoc="0" locked="0" layoutInCell="1" allowOverlap="1">
                <wp:simplePos x="0" y="0"/>
                <wp:positionH relativeFrom="column">
                  <wp:posOffset>5715</wp:posOffset>
                </wp:positionH>
                <wp:positionV relativeFrom="paragraph">
                  <wp:posOffset>327660</wp:posOffset>
                </wp:positionV>
                <wp:extent cx="5471795" cy="7620"/>
                <wp:effectExtent l="15240" t="13335" r="18415" b="17145"/>
                <wp:wrapNone/>
                <wp:docPr id="3" name="直接连接符 3"/>
                <wp:cNvGraphicFramePr/>
                <a:graphic xmlns:a="http://schemas.openxmlformats.org/drawingml/2006/main">
                  <a:graphicData uri="http://schemas.microsoft.com/office/word/2010/wordprocessingShape">
                    <wps:wsp>
                      <wps:cNvCnPr>
                        <a:cxnSpLocks noChangeShapeType="true"/>
                      </wps:cNvCnPr>
                      <wps:spPr bwMode="auto">
                        <a:xfrm>
                          <a:off x="0" y="0"/>
                          <a:ext cx="5471795" cy="762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left:0.45pt;margin-top:25.8pt;height:0.6pt;width:430.85pt;z-index:251662336;mso-width-relative:page;mso-height-relative:page;" filled="f" stroked="t" coordsize="21600,21600" o:gfxdata="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BCQoHh0wAAAAYB&#10;AAAPAAAAAAAAAAEAIAAAADgAAABkcnMvZG93bnJldi54bWxQSwECFAAUAAAACACHTuJAX8HnKdEB&#10;AABjAwAADgAAAAAAAAABACAAAAA4AQAAZHJzL2Uyb0RvYy54bWxQSwUGAAAAAAYABgBZAQAAewUA&#10;AAAA&#10;">
                <v:fill on="f" focussize="0,0"/>
                <v:stroke weight="1.5pt" color="#000000" joinstyle="round"/>
                <v:imagedata o:title=""/>
                <o:lock v:ext="edit" aspectratio="f"/>
              </v:line>
            </w:pict>
          </mc:Fallback>
        </mc:AlternateContent>
      </w:r>
      <w:r>
        <w:rPr>
          <w:rFonts w:hint="eastAsia" w:ascii="仿宋_GB2312" w:eastAsia="仿宋_GB2312" w:cs="仿宋_GB2312"/>
          <w:sz w:val="28"/>
          <w:szCs w:val="28"/>
        </w:rPr>
        <w:t>滕州市人民政府办公室</w:t>
      </w:r>
      <w:r>
        <w:rPr>
          <w:rFonts w:ascii="仿宋_GB2312" w:eastAsia="仿宋_GB2312" w:cs="仿宋_GB2312"/>
          <w:color w:val="FF0000"/>
          <w:sz w:val="28"/>
          <w:szCs w:val="28"/>
        </w:rPr>
        <w:t xml:space="preserve">   </w:t>
      </w:r>
      <w:r>
        <w:rPr>
          <w:rFonts w:ascii="仿宋_GB2312" w:eastAsia="仿宋_GB2312" w:cs="仿宋_GB2312"/>
          <w:sz w:val="28"/>
          <w:szCs w:val="28"/>
        </w:rPr>
        <w:t xml:space="preserve">                 202</w:t>
      </w:r>
      <w:r>
        <w:rPr>
          <w:rFonts w:hint="eastAsia" w:ascii="仿宋_GB2312" w:eastAsia="仿宋_GB2312" w:cs="仿宋_GB2312"/>
          <w:sz w:val="28"/>
          <w:szCs w:val="28"/>
        </w:rPr>
        <w:t>3年4月28日印发</w:t>
      </w:r>
    </w:p>
    <w:sectPr>
      <w:footerReference r:id="rId3" w:type="default"/>
      <w:pgSz w:w="11906" w:h="16838"/>
      <w:pgMar w:top="1588" w:right="1588" w:bottom="1588"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- 5 -</w:t>
                          </w:r>
                          <w:r>
                            <w:rPr>
                              <w:rFonts w:hint="eastAsia" w:ascii="宋体" w:hAnsi="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5"/>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- 5 -</w:t>
                    </w:r>
                    <w:r>
                      <w:rPr>
                        <w:rFonts w:hint="eastAsia" w:ascii="宋体" w:hAnsi="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4ODUxNjkwODEwMjZjMzM4NDg1MTY3MmRlMWJkOTcifQ=="/>
  </w:docVars>
  <w:rsids>
    <w:rsidRoot w:val="00B81F7D"/>
    <w:rsid w:val="000A4EB3"/>
    <w:rsid w:val="000E7F84"/>
    <w:rsid w:val="00142266"/>
    <w:rsid w:val="00151B38"/>
    <w:rsid w:val="00172672"/>
    <w:rsid w:val="001A7146"/>
    <w:rsid w:val="001C1C74"/>
    <w:rsid w:val="001C6A53"/>
    <w:rsid w:val="001D45C3"/>
    <w:rsid w:val="001E0CCE"/>
    <w:rsid w:val="00207B46"/>
    <w:rsid w:val="00215FCD"/>
    <w:rsid w:val="00242090"/>
    <w:rsid w:val="002A36A6"/>
    <w:rsid w:val="002A60BE"/>
    <w:rsid w:val="002A693B"/>
    <w:rsid w:val="002D656C"/>
    <w:rsid w:val="002D7273"/>
    <w:rsid w:val="00303695"/>
    <w:rsid w:val="0031374A"/>
    <w:rsid w:val="00330A0A"/>
    <w:rsid w:val="003652A1"/>
    <w:rsid w:val="00381EE8"/>
    <w:rsid w:val="00396C80"/>
    <w:rsid w:val="003A3ECB"/>
    <w:rsid w:val="003F3D16"/>
    <w:rsid w:val="004168DE"/>
    <w:rsid w:val="00481600"/>
    <w:rsid w:val="00481EC9"/>
    <w:rsid w:val="00487D59"/>
    <w:rsid w:val="004A6698"/>
    <w:rsid w:val="004B2686"/>
    <w:rsid w:val="004B5DE5"/>
    <w:rsid w:val="004D1DD7"/>
    <w:rsid w:val="004D7C7F"/>
    <w:rsid w:val="00516F7C"/>
    <w:rsid w:val="005417A5"/>
    <w:rsid w:val="00566420"/>
    <w:rsid w:val="005757DC"/>
    <w:rsid w:val="00591946"/>
    <w:rsid w:val="005944E8"/>
    <w:rsid w:val="005A379D"/>
    <w:rsid w:val="005B2E97"/>
    <w:rsid w:val="005C05A0"/>
    <w:rsid w:val="005F2D78"/>
    <w:rsid w:val="006455B2"/>
    <w:rsid w:val="00664116"/>
    <w:rsid w:val="006A49F5"/>
    <w:rsid w:val="006E4182"/>
    <w:rsid w:val="00782DAB"/>
    <w:rsid w:val="00793DEB"/>
    <w:rsid w:val="007A4127"/>
    <w:rsid w:val="007D6DCE"/>
    <w:rsid w:val="00803308"/>
    <w:rsid w:val="0082706E"/>
    <w:rsid w:val="00835551"/>
    <w:rsid w:val="008660D6"/>
    <w:rsid w:val="00871E03"/>
    <w:rsid w:val="00880EE4"/>
    <w:rsid w:val="00884144"/>
    <w:rsid w:val="0089611F"/>
    <w:rsid w:val="008F48EC"/>
    <w:rsid w:val="0091189A"/>
    <w:rsid w:val="00913C2B"/>
    <w:rsid w:val="00925B9B"/>
    <w:rsid w:val="00930BD3"/>
    <w:rsid w:val="009504D1"/>
    <w:rsid w:val="00960394"/>
    <w:rsid w:val="009678F3"/>
    <w:rsid w:val="0097742B"/>
    <w:rsid w:val="00984D00"/>
    <w:rsid w:val="009A70B7"/>
    <w:rsid w:val="009A72F5"/>
    <w:rsid w:val="009D593A"/>
    <w:rsid w:val="009E5AD1"/>
    <w:rsid w:val="00A31F95"/>
    <w:rsid w:val="00A64797"/>
    <w:rsid w:val="00A72E91"/>
    <w:rsid w:val="00A92EF1"/>
    <w:rsid w:val="00A9555F"/>
    <w:rsid w:val="00AA1D19"/>
    <w:rsid w:val="00AB465B"/>
    <w:rsid w:val="00AD16B5"/>
    <w:rsid w:val="00B417B9"/>
    <w:rsid w:val="00B41D2A"/>
    <w:rsid w:val="00B47B11"/>
    <w:rsid w:val="00B81F7D"/>
    <w:rsid w:val="00B825F9"/>
    <w:rsid w:val="00B82B0A"/>
    <w:rsid w:val="00B86D34"/>
    <w:rsid w:val="00BA50FF"/>
    <w:rsid w:val="00BC1D8B"/>
    <w:rsid w:val="00BC27D9"/>
    <w:rsid w:val="00BD049C"/>
    <w:rsid w:val="00C24FCE"/>
    <w:rsid w:val="00C25E4E"/>
    <w:rsid w:val="00C54759"/>
    <w:rsid w:val="00C67E0B"/>
    <w:rsid w:val="00CE7150"/>
    <w:rsid w:val="00CF5664"/>
    <w:rsid w:val="00D07B89"/>
    <w:rsid w:val="00D215B5"/>
    <w:rsid w:val="00D35BD2"/>
    <w:rsid w:val="00D500ED"/>
    <w:rsid w:val="00D74001"/>
    <w:rsid w:val="00D90D4F"/>
    <w:rsid w:val="00DC1484"/>
    <w:rsid w:val="00DC1F56"/>
    <w:rsid w:val="00DD0BDB"/>
    <w:rsid w:val="00DE2926"/>
    <w:rsid w:val="00DE6D9A"/>
    <w:rsid w:val="00DF6487"/>
    <w:rsid w:val="00E63FD6"/>
    <w:rsid w:val="00E8215B"/>
    <w:rsid w:val="00E84D69"/>
    <w:rsid w:val="00EB195F"/>
    <w:rsid w:val="00EB3C32"/>
    <w:rsid w:val="00EB5708"/>
    <w:rsid w:val="00EC0787"/>
    <w:rsid w:val="00EC26E3"/>
    <w:rsid w:val="00ED0F3A"/>
    <w:rsid w:val="00F04F7B"/>
    <w:rsid w:val="00F355FE"/>
    <w:rsid w:val="00F36C54"/>
    <w:rsid w:val="00F70C04"/>
    <w:rsid w:val="00FD0D28"/>
    <w:rsid w:val="00FF3C1A"/>
    <w:rsid w:val="011C6563"/>
    <w:rsid w:val="01471C6C"/>
    <w:rsid w:val="0213141D"/>
    <w:rsid w:val="02164D8F"/>
    <w:rsid w:val="02C82E90"/>
    <w:rsid w:val="02DB50E4"/>
    <w:rsid w:val="03D575A8"/>
    <w:rsid w:val="07CA6A21"/>
    <w:rsid w:val="08635FA2"/>
    <w:rsid w:val="090C06B5"/>
    <w:rsid w:val="0A331EE4"/>
    <w:rsid w:val="0AFC4E41"/>
    <w:rsid w:val="0B1274FC"/>
    <w:rsid w:val="0BBF43C3"/>
    <w:rsid w:val="0D3E21A5"/>
    <w:rsid w:val="0D823AC2"/>
    <w:rsid w:val="0EA82DEB"/>
    <w:rsid w:val="0FA86699"/>
    <w:rsid w:val="10316E55"/>
    <w:rsid w:val="1090632E"/>
    <w:rsid w:val="115F467E"/>
    <w:rsid w:val="11FB4533"/>
    <w:rsid w:val="12297DF6"/>
    <w:rsid w:val="133B11DF"/>
    <w:rsid w:val="139C331C"/>
    <w:rsid w:val="14C94663"/>
    <w:rsid w:val="175E2CE2"/>
    <w:rsid w:val="180B3DE1"/>
    <w:rsid w:val="18406DF4"/>
    <w:rsid w:val="18AE37F5"/>
    <w:rsid w:val="196B2D66"/>
    <w:rsid w:val="1A2C356C"/>
    <w:rsid w:val="1A790F1E"/>
    <w:rsid w:val="1A8A67FF"/>
    <w:rsid w:val="1B852F33"/>
    <w:rsid w:val="1B9B1973"/>
    <w:rsid w:val="1BAC6712"/>
    <w:rsid w:val="1CA76EDA"/>
    <w:rsid w:val="1D556936"/>
    <w:rsid w:val="1E013A44"/>
    <w:rsid w:val="1FD75D28"/>
    <w:rsid w:val="1FD95AD3"/>
    <w:rsid w:val="20541126"/>
    <w:rsid w:val="227F4BB4"/>
    <w:rsid w:val="22934188"/>
    <w:rsid w:val="231352C9"/>
    <w:rsid w:val="24616ECF"/>
    <w:rsid w:val="26994E52"/>
    <w:rsid w:val="271A6988"/>
    <w:rsid w:val="28D948BF"/>
    <w:rsid w:val="299A22A0"/>
    <w:rsid w:val="29C72969"/>
    <w:rsid w:val="2A735630"/>
    <w:rsid w:val="2D8A0140"/>
    <w:rsid w:val="2EA12A38"/>
    <w:rsid w:val="2FF251F5"/>
    <w:rsid w:val="33EA6664"/>
    <w:rsid w:val="36492F28"/>
    <w:rsid w:val="36E11DD0"/>
    <w:rsid w:val="37404D9E"/>
    <w:rsid w:val="375B0AC3"/>
    <w:rsid w:val="381A3437"/>
    <w:rsid w:val="382B63CA"/>
    <w:rsid w:val="39FB6819"/>
    <w:rsid w:val="3B27770B"/>
    <w:rsid w:val="3B7E3283"/>
    <w:rsid w:val="3BBC4A5C"/>
    <w:rsid w:val="3C1834A0"/>
    <w:rsid w:val="3C991F43"/>
    <w:rsid w:val="40D6429F"/>
    <w:rsid w:val="411456FD"/>
    <w:rsid w:val="41317EE9"/>
    <w:rsid w:val="41E9571B"/>
    <w:rsid w:val="4206515C"/>
    <w:rsid w:val="448F6B3A"/>
    <w:rsid w:val="456450B8"/>
    <w:rsid w:val="46916EDC"/>
    <w:rsid w:val="47AF4D11"/>
    <w:rsid w:val="49E2685B"/>
    <w:rsid w:val="49EB0E7D"/>
    <w:rsid w:val="4A6D4A0F"/>
    <w:rsid w:val="4A8835F7"/>
    <w:rsid w:val="4EB2594A"/>
    <w:rsid w:val="512A5C74"/>
    <w:rsid w:val="54077237"/>
    <w:rsid w:val="54ED58D2"/>
    <w:rsid w:val="55FD133D"/>
    <w:rsid w:val="56892BD1"/>
    <w:rsid w:val="5765719A"/>
    <w:rsid w:val="58652D88"/>
    <w:rsid w:val="5976277D"/>
    <w:rsid w:val="5A495C30"/>
    <w:rsid w:val="5B523ED9"/>
    <w:rsid w:val="5B990E52"/>
    <w:rsid w:val="5C0F3B78"/>
    <w:rsid w:val="5DB70007"/>
    <w:rsid w:val="5F487ACD"/>
    <w:rsid w:val="602D3187"/>
    <w:rsid w:val="60B66ADC"/>
    <w:rsid w:val="616A6AD3"/>
    <w:rsid w:val="63D14975"/>
    <w:rsid w:val="63F05FE3"/>
    <w:rsid w:val="64F33E98"/>
    <w:rsid w:val="65B67155"/>
    <w:rsid w:val="66550C7C"/>
    <w:rsid w:val="66F10A4A"/>
    <w:rsid w:val="67677A4A"/>
    <w:rsid w:val="68CA4B01"/>
    <w:rsid w:val="6D5C4743"/>
    <w:rsid w:val="6EAE733F"/>
    <w:rsid w:val="6F433E0D"/>
    <w:rsid w:val="70D26610"/>
    <w:rsid w:val="711B1252"/>
    <w:rsid w:val="71947E7C"/>
    <w:rsid w:val="73335F46"/>
    <w:rsid w:val="733D0B73"/>
    <w:rsid w:val="755260CA"/>
    <w:rsid w:val="76AE5A0C"/>
    <w:rsid w:val="76CC293A"/>
    <w:rsid w:val="797D4950"/>
    <w:rsid w:val="7A150154"/>
    <w:rsid w:val="7A556E34"/>
    <w:rsid w:val="7B2D7A9F"/>
    <w:rsid w:val="7B681DA6"/>
    <w:rsid w:val="7F3E639F"/>
    <w:rsid w:val="7F6A7194"/>
    <w:rsid w:val="7FF51F61"/>
    <w:rsid w:val="FB9DB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宋体" w:asciiTheme="minorHAnsi" w:hAnsiTheme="minorHAnsi" w:cstheme="minorBidi"/>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qFormat/>
    <w:uiPriority w:val="0"/>
    <w:pPr>
      <w:ind w:left="100" w:leftChars="2500"/>
    </w:pPr>
  </w:style>
  <w:style w:type="paragraph" w:styleId="4">
    <w:name w:val="Balloon Text"/>
    <w:basedOn w:val="1"/>
    <w:link w:val="10"/>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customStyle="1" w:styleId="10">
    <w:name w:val="批注框文本 Char"/>
    <w:basedOn w:val="9"/>
    <w:link w:val="4"/>
    <w:qFormat/>
    <w:uiPriority w:val="0"/>
    <w:rPr>
      <w:rFonts w:asciiTheme="minorHAnsi" w:hAnsiTheme="minorHAnsi" w:cstheme="minorBidi"/>
      <w:kern w:val="2"/>
      <w:sz w:val="18"/>
      <w:szCs w:val="18"/>
    </w:rPr>
  </w:style>
  <w:style w:type="character" w:customStyle="1" w:styleId="11">
    <w:name w:val="日期 Char"/>
    <w:basedOn w:val="9"/>
    <w:link w:val="3"/>
    <w:qFormat/>
    <w:uiPriority w:val="0"/>
    <w:rPr>
      <w:rFonts w:asciiTheme="minorHAnsi" w:hAnsiTheme="minorHAnsi" w:cstheme="minorBidi"/>
      <w:kern w:val="2"/>
      <w:sz w:val="21"/>
    </w:rPr>
  </w:style>
  <w:style w:type="character" w:customStyle="1" w:styleId="12">
    <w:name w:val="页眉 Char"/>
    <w:basedOn w:val="9"/>
    <w:link w:val="6"/>
    <w:qFormat/>
    <w:uiPriority w:val="0"/>
    <w:rPr>
      <w:rFonts w:asciiTheme="minorHAnsi" w:hAnsiTheme="minorHAnsi" w:cstheme="minorBidi"/>
      <w:kern w:val="2"/>
      <w:sz w:val="18"/>
      <w:szCs w:val="18"/>
    </w:rPr>
  </w:style>
  <w:style w:type="character" w:customStyle="1" w:styleId="13">
    <w:name w:val="页脚 Char"/>
    <w:basedOn w:val="9"/>
    <w:link w:val="5"/>
    <w:qFormat/>
    <w:uiPriority w:val="0"/>
    <w:rPr>
      <w:rFonts w:asciiTheme="minorHAnsi" w:hAnsiTheme="minorHAnsi" w:cstheme="minorBidi"/>
      <w:kern w:val="2"/>
      <w:sz w:val="18"/>
      <w:szCs w:val="18"/>
    </w:rPr>
  </w:style>
  <w:style w:type="paragraph" w:styleId="14">
    <w:name w:val="List Paragraph"/>
    <w:basedOn w:val="1"/>
    <w:qFormat/>
    <w:uiPriority w:val="99"/>
    <w:pPr>
      <w:ind w:firstLine="420" w:firstLineChars="200"/>
    </w:pPr>
  </w:style>
  <w:style w:type="paragraph" w:customStyle="1" w:styleId="15">
    <w:name w:val="修订1"/>
    <w:hidden/>
    <w:semiHidden/>
    <w:qFormat/>
    <w:uiPriority w:val="99"/>
    <w:rPr>
      <w:rFonts w:eastAsia="宋体" w:asciiTheme="minorHAnsi" w:hAnsiTheme="minorHAnsi" w:cstheme="minorBidi"/>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1865</Words>
  <Characters>1956</Characters>
  <Lines>14</Lines>
  <Paragraphs>4</Paragraphs>
  <TotalTime>0</TotalTime>
  <ScaleCrop>false</ScaleCrop>
  <LinksUpToDate>false</LinksUpToDate>
  <CharactersWithSpaces>1977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2022-04-01T11:33:00Z</dcterms:created>
  <dc:creator>Administrator</dc:creator>
  <cp:lastModifiedBy>zhangxx</cp:lastModifiedBy>
  <cp:lastPrinted>2023-01-06T10:27:00Z</cp:lastPrinted>
  <dcterms:modified xsi:type="dcterms:W3CDTF">2023-05-09T10:23:58Z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FC9966AEF3804611B29B69CFF29C072C</vt:lpwstr>
  </property>
</Properties>
</file>